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916C31" w14:textId="77777777" w:rsidR="00771FBA" w:rsidRDefault="00771FBA" w:rsidP="00771FBA">
      <w:pPr>
        <w:spacing w:line="480" w:lineRule="auto"/>
        <w:ind w:right="40"/>
        <w:jc w:val="center"/>
        <w:rPr>
          <w:b/>
          <w:sz w:val="20"/>
          <w:szCs w:val="20"/>
        </w:rPr>
      </w:pPr>
    </w:p>
    <w:p w14:paraId="05F06999" w14:textId="42C17600" w:rsidR="00771FBA" w:rsidRDefault="00771FBA" w:rsidP="00771FBA">
      <w:pPr>
        <w:spacing w:line="480" w:lineRule="auto"/>
        <w:ind w:right="40"/>
        <w:rPr>
          <w:b/>
          <w:sz w:val="20"/>
          <w:szCs w:val="20"/>
        </w:rPr>
      </w:pPr>
      <w:r>
        <w:rPr>
          <w:b/>
          <w:noProof/>
          <w:sz w:val="20"/>
          <w:szCs w:val="20"/>
        </w:rPr>
        <w:drawing>
          <wp:inline distT="0" distB="0" distL="0" distR="0" wp14:anchorId="15C74CB3" wp14:editId="6751A8B1">
            <wp:extent cx="5943600" cy="4476750"/>
            <wp:effectExtent l="0" t="0" r="0" b="0"/>
            <wp:docPr id="254242698" name="Picture 9" descr="Diagram of a gas-powered devi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gram of a gas-powered device&#10;&#10;AI-generated content may be incorrect."/>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43600" cy="4476750"/>
                    </a:xfrm>
                    <a:prstGeom prst="rect">
                      <a:avLst/>
                    </a:prstGeom>
                    <a:noFill/>
                    <a:ln>
                      <a:noFill/>
                    </a:ln>
                  </pic:spPr>
                </pic:pic>
              </a:graphicData>
            </a:graphic>
          </wp:inline>
        </w:drawing>
      </w:r>
    </w:p>
    <w:p w14:paraId="730FC53B" w14:textId="77777777" w:rsidR="00771FBA" w:rsidRDefault="00771FBA" w:rsidP="00771FBA">
      <w:pPr>
        <w:spacing w:line="480" w:lineRule="auto"/>
        <w:jc w:val="both"/>
      </w:pPr>
      <w:r>
        <w:rPr>
          <w:b/>
          <w:bCs/>
        </w:rPr>
        <w:t>Supplementary Figure S1</w:t>
      </w:r>
      <w:r>
        <w:t xml:space="preserve"> Schematic diagram of electrochemical setup for </w:t>
      </w:r>
      <w:r>
        <w:rPr>
          <w:rFonts w:cs="Times New Roman"/>
          <w:szCs w:val="24"/>
        </w:rPr>
        <w:t>NO</w:t>
      </w:r>
      <w:r>
        <w:rPr>
          <w:rFonts w:cs="Times New Roman"/>
          <w:szCs w:val="24"/>
          <w:vertAlign w:val="subscript"/>
        </w:rPr>
        <w:t>3</w:t>
      </w:r>
      <w:r>
        <w:rPr>
          <w:rFonts w:cs="Times New Roman"/>
          <w:szCs w:val="24"/>
          <w:vertAlign w:val="superscript"/>
        </w:rPr>
        <w:t>-</w:t>
      </w:r>
      <w:r>
        <w:t xml:space="preserve"> reduction </w:t>
      </w:r>
    </w:p>
    <w:p w14:paraId="3F0E608B" w14:textId="77777777" w:rsidR="00771FBA" w:rsidRDefault="00771FBA" w:rsidP="00771FBA">
      <w:pPr>
        <w:spacing w:after="160" w:line="256" w:lineRule="auto"/>
      </w:pPr>
      <w:r>
        <w:br w:type="page"/>
      </w:r>
    </w:p>
    <w:p w14:paraId="259A94EE" w14:textId="77777777" w:rsidR="00771FBA" w:rsidRDefault="00771FBA" w:rsidP="00771FBA">
      <w:pPr>
        <w:ind w:right="40"/>
        <w:jc w:val="both"/>
        <w:rPr>
          <w:bCs/>
        </w:rPr>
      </w:pPr>
      <w:r>
        <w:rPr>
          <w:noProof/>
        </w:rPr>
        <w:lastRenderedPageBreak/>
        <w:t xml:space="preserve">Figure S2 displays </w:t>
      </w:r>
      <w:bookmarkStart w:id="0" w:name="_Hlk171327355"/>
      <w:r>
        <w:rPr>
          <w:noProof/>
        </w:rPr>
        <w:t xml:space="preserve">the SEM images of pristine 25 nm Cu-Ni electrode at </w:t>
      </w:r>
      <w:r>
        <w:rPr>
          <w:bCs/>
        </w:rPr>
        <w:t>370</w:t>
      </w:r>
      <w:r>
        <w:t xml:space="preserve">× </w:t>
      </w:r>
      <w:r>
        <w:rPr>
          <w:noProof/>
        </w:rPr>
        <w:t>and 400</w:t>
      </w:r>
      <w:r>
        <w:rPr>
          <w:bCs/>
        </w:rPr>
        <w:t>0</w:t>
      </w:r>
      <w:r>
        <w:t>×</w:t>
      </w:r>
      <w:r>
        <w:rPr>
          <w:noProof/>
        </w:rPr>
        <w:t xml:space="preserve"> magnification. The images reveal the presence of pits on the Ni plate, with widths of ~1 μm.</w:t>
      </w:r>
      <w:bookmarkEnd w:id="0"/>
    </w:p>
    <w:p w14:paraId="36503F89" w14:textId="7A830C5A" w:rsidR="00771FBA" w:rsidRDefault="00771FBA" w:rsidP="00771FBA">
      <w:pPr>
        <w:spacing w:before="0" w:after="0"/>
        <w:rPr>
          <w:rFonts w:eastAsia="Times New Roman" w:cs="Times New Roman"/>
          <w:szCs w:val="24"/>
          <w:lang w:val="en-GB" w:eastAsia="en-GB" w:bidi="mr-IN"/>
        </w:rPr>
      </w:pPr>
      <w:r>
        <w:rPr>
          <w:rFonts w:eastAsia="Times New Roman" w:cs="Times New Roman"/>
          <w:noProof/>
          <w:szCs w:val="24"/>
          <w:lang w:val="en-GB" w:eastAsia="en-GB" w:bidi="mr-IN"/>
        </w:rPr>
        <w:drawing>
          <wp:inline distT="0" distB="0" distL="0" distR="0" wp14:anchorId="19D63E9B" wp14:editId="71422806">
            <wp:extent cx="5943600" cy="2266950"/>
            <wp:effectExtent l="0" t="0" r="0" b="0"/>
            <wp:docPr id="323461166" name="Picture 8" descr="A close-up of a rock form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close-up of a rock formation&#10;&#10;AI-generated content may be incorrect."/>
                    <pic:cNvPicPr>
                      <a:picLocks noChangeAspect="1" noChangeArrowheads="1"/>
                    </pic:cNvPicPr>
                  </pic:nvPicPr>
                  <pic:blipFill>
                    <a:blip r:embed="rId5" cstate="print">
                      <a:extLst>
                        <a:ext uri="{28A0092B-C50C-407E-A947-70E740481C1C}">
                          <a14:useLocalDpi xmlns:a14="http://schemas.microsoft.com/office/drawing/2010/main" val="0"/>
                        </a:ext>
                      </a:extLst>
                    </a:blip>
                    <a:srcRect l="731" t="2628" r="1387" b="7738"/>
                    <a:stretch>
                      <a:fillRect/>
                    </a:stretch>
                  </pic:blipFill>
                  <pic:spPr bwMode="auto">
                    <a:xfrm>
                      <a:off x="0" y="0"/>
                      <a:ext cx="5943600" cy="2266950"/>
                    </a:xfrm>
                    <a:prstGeom prst="rect">
                      <a:avLst/>
                    </a:prstGeom>
                    <a:noFill/>
                    <a:ln>
                      <a:noFill/>
                    </a:ln>
                  </pic:spPr>
                </pic:pic>
              </a:graphicData>
            </a:graphic>
          </wp:inline>
        </w:drawing>
      </w:r>
    </w:p>
    <w:p w14:paraId="3FA232C7" w14:textId="77777777" w:rsidR="00771FBA" w:rsidRDefault="00771FBA" w:rsidP="00771FBA"/>
    <w:p w14:paraId="4C82C51F" w14:textId="77777777" w:rsidR="00771FBA" w:rsidRDefault="00771FBA" w:rsidP="00771FBA">
      <w:pPr>
        <w:ind w:right="40"/>
        <w:jc w:val="both"/>
      </w:pPr>
      <w:r>
        <w:rPr>
          <w:b/>
          <w:bCs/>
        </w:rPr>
        <w:t>Supplementary Figure</w:t>
      </w:r>
      <w:r>
        <w:rPr>
          <w:b/>
        </w:rPr>
        <w:t xml:space="preserve"> S2</w:t>
      </w:r>
      <w:r>
        <w:rPr>
          <w:bCs/>
        </w:rPr>
        <w:t xml:space="preserve"> SEM micromorphology of 25 nm Cu-Ni electrode at (A) 370x</w:t>
      </w:r>
      <w:r>
        <w:rPr>
          <w:sz w:val="32"/>
          <w:szCs w:val="32"/>
        </w:rPr>
        <w:t xml:space="preserve">, </w:t>
      </w:r>
      <w:r>
        <w:rPr>
          <w:bCs/>
        </w:rPr>
        <w:t>and (B) 4000</w:t>
      </w:r>
      <w:r>
        <w:t>x</w:t>
      </w:r>
    </w:p>
    <w:p w14:paraId="4FD12561" w14:textId="77777777" w:rsidR="00771FBA" w:rsidRDefault="00771FBA" w:rsidP="00771FBA">
      <w:pPr>
        <w:spacing w:line="480" w:lineRule="auto"/>
        <w:ind w:right="40"/>
        <w:rPr>
          <w:sz w:val="32"/>
          <w:szCs w:val="32"/>
        </w:rPr>
      </w:pPr>
    </w:p>
    <w:p w14:paraId="2593E264" w14:textId="77777777" w:rsidR="00771FBA" w:rsidRDefault="00771FBA" w:rsidP="00771FBA">
      <w:pPr>
        <w:spacing w:line="480" w:lineRule="auto"/>
        <w:ind w:right="40"/>
        <w:rPr>
          <w:noProof/>
        </w:rPr>
      </w:pPr>
    </w:p>
    <w:p w14:paraId="3560DC3D" w14:textId="77777777" w:rsidR="00771FBA" w:rsidRDefault="00771FBA" w:rsidP="00771FBA">
      <w:pPr>
        <w:spacing w:line="480" w:lineRule="auto"/>
        <w:ind w:right="40"/>
        <w:rPr>
          <w:noProof/>
        </w:rPr>
      </w:pPr>
    </w:p>
    <w:p w14:paraId="5FEDD5B1" w14:textId="77777777" w:rsidR="00771FBA" w:rsidRDefault="00771FBA" w:rsidP="00771FBA">
      <w:pPr>
        <w:spacing w:line="480" w:lineRule="auto"/>
        <w:ind w:right="40"/>
        <w:rPr>
          <w:noProof/>
        </w:rPr>
      </w:pPr>
    </w:p>
    <w:p w14:paraId="422BD6B8" w14:textId="77777777" w:rsidR="00771FBA" w:rsidRDefault="00771FBA" w:rsidP="00771FBA">
      <w:pPr>
        <w:spacing w:line="480" w:lineRule="auto"/>
        <w:ind w:right="40"/>
        <w:rPr>
          <w:noProof/>
        </w:rPr>
      </w:pPr>
    </w:p>
    <w:p w14:paraId="26D92E82" w14:textId="77777777" w:rsidR="00771FBA" w:rsidRDefault="00771FBA" w:rsidP="00771FBA">
      <w:pPr>
        <w:spacing w:line="480" w:lineRule="auto"/>
        <w:ind w:right="40"/>
        <w:rPr>
          <w:noProof/>
        </w:rPr>
      </w:pPr>
    </w:p>
    <w:p w14:paraId="74D9E6A6" w14:textId="77777777" w:rsidR="00771FBA" w:rsidRDefault="00771FBA" w:rsidP="00771FBA">
      <w:pPr>
        <w:spacing w:line="480" w:lineRule="auto"/>
        <w:ind w:right="40"/>
        <w:rPr>
          <w:noProof/>
        </w:rPr>
      </w:pPr>
    </w:p>
    <w:p w14:paraId="66725BB3" w14:textId="77777777" w:rsidR="00771FBA" w:rsidRDefault="00771FBA" w:rsidP="00771FBA">
      <w:pPr>
        <w:spacing w:line="480" w:lineRule="auto"/>
        <w:ind w:right="40"/>
        <w:rPr>
          <w:noProof/>
        </w:rPr>
      </w:pPr>
    </w:p>
    <w:p w14:paraId="4C34C35C" w14:textId="77777777" w:rsidR="00771FBA" w:rsidRDefault="00771FBA" w:rsidP="00771FBA">
      <w:pPr>
        <w:spacing w:line="480" w:lineRule="auto"/>
        <w:ind w:right="40"/>
        <w:rPr>
          <w:noProof/>
        </w:rPr>
      </w:pPr>
    </w:p>
    <w:p w14:paraId="1F377864" w14:textId="77777777" w:rsidR="00771FBA" w:rsidRDefault="00771FBA" w:rsidP="00771FBA">
      <w:pPr>
        <w:spacing w:line="480" w:lineRule="auto"/>
        <w:ind w:right="40"/>
        <w:rPr>
          <w:noProof/>
        </w:rPr>
      </w:pPr>
    </w:p>
    <w:p w14:paraId="2E12513F" w14:textId="77777777" w:rsidR="00771FBA" w:rsidRDefault="00771FBA" w:rsidP="00771FBA">
      <w:pPr>
        <w:ind w:right="40"/>
        <w:jc w:val="both"/>
        <w:rPr>
          <w:bCs/>
          <w:sz w:val="20"/>
          <w:szCs w:val="20"/>
        </w:rPr>
      </w:pPr>
      <w:r>
        <w:rPr>
          <w:noProof/>
        </w:rPr>
        <w:t xml:space="preserve">Figure S3 displays </w:t>
      </w:r>
      <w:bookmarkStart w:id="1" w:name="_Hlk171327370"/>
      <w:r>
        <w:rPr>
          <w:noProof/>
        </w:rPr>
        <w:t>the elemental EDX mapping and EDX spectrum, which demonstrates the complete coverage of the Ni plate with Cu, a finding that is consistent with the XPS results (shown in the next section).</w:t>
      </w:r>
      <w:bookmarkEnd w:id="1"/>
    </w:p>
    <w:p w14:paraId="0FC3AB37" w14:textId="7366EF9A" w:rsidR="00771FBA" w:rsidRDefault="00771FBA" w:rsidP="00771FBA">
      <w:r>
        <w:rPr>
          <w:noProof/>
        </w:rPr>
        <w:drawing>
          <wp:inline distT="0" distB="0" distL="0" distR="0" wp14:anchorId="4B2C700A" wp14:editId="722AEA2F">
            <wp:extent cx="5899150" cy="6318250"/>
            <wp:effectExtent l="0" t="0" r="0" b="0"/>
            <wp:docPr id="1183574841"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screenshot of a computer&#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99150" cy="6318250"/>
                    </a:xfrm>
                    <a:prstGeom prst="rect">
                      <a:avLst/>
                    </a:prstGeom>
                    <a:noFill/>
                    <a:ln>
                      <a:noFill/>
                    </a:ln>
                  </pic:spPr>
                </pic:pic>
              </a:graphicData>
            </a:graphic>
          </wp:inline>
        </w:drawing>
      </w:r>
    </w:p>
    <w:p w14:paraId="608C21D7" w14:textId="77777777" w:rsidR="00771FBA" w:rsidRDefault="00771FBA" w:rsidP="00771FBA">
      <w:pPr>
        <w:ind w:right="40"/>
        <w:jc w:val="both"/>
        <w:rPr>
          <w:bCs/>
        </w:rPr>
      </w:pPr>
      <w:r>
        <w:rPr>
          <w:b/>
          <w:bCs/>
        </w:rPr>
        <w:t>Supplementary Figure S3</w:t>
      </w:r>
      <w:r>
        <w:rPr>
          <w:bCs/>
        </w:rPr>
        <w:t xml:space="preserve"> EDX images with elemental mapping and EDX spectrum of 25 nm Cu-Ni electrode</w:t>
      </w:r>
    </w:p>
    <w:p w14:paraId="7AFB0C2B" w14:textId="77777777" w:rsidR="00771FBA" w:rsidRDefault="00771FBA" w:rsidP="00771FBA">
      <w:pPr>
        <w:shd w:val="clear" w:color="auto" w:fill="FFFFFF"/>
        <w:jc w:val="both"/>
        <w:rPr>
          <w:color w:val="222222"/>
        </w:rPr>
      </w:pPr>
    </w:p>
    <w:p w14:paraId="0C0ED060" w14:textId="77777777" w:rsidR="00771FBA" w:rsidRDefault="00771FBA" w:rsidP="00771FBA">
      <w:pPr>
        <w:shd w:val="clear" w:color="auto" w:fill="FFFFFF"/>
        <w:jc w:val="both"/>
        <w:rPr>
          <w:color w:val="222222"/>
        </w:rPr>
      </w:pPr>
    </w:p>
    <w:p w14:paraId="2F5CA501" w14:textId="77777777" w:rsidR="00771FBA" w:rsidRDefault="00771FBA" w:rsidP="00771FBA">
      <w:pPr>
        <w:shd w:val="clear" w:color="auto" w:fill="FFFFFF"/>
        <w:jc w:val="both"/>
        <w:rPr>
          <w:color w:val="222222"/>
        </w:rPr>
      </w:pPr>
      <w:r>
        <w:rPr>
          <w:color w:val="222222"/>
        </w:rPr>
        <w:t>XPS spectra of the Ni plate used in this study is shown in Figure S4. The survey spectrum of Ni plate showed the elements like C, Ni, O present on the surface (Figure S4A). High resolution spectrum of Ni 2p is curve fitted as shown in Figure S4B. In Ni 2p3/2 region, the peak at 852.39 eV corresponds to Ni metal (Ni</w:t>
      </w:r>
      <w:r>
        <w:rPr>
          <w:color w:val="222222"/>
          <w:vertAlign w:val="superscript"/>
        </w:rPr>
        <w:t>0</w:t>
      </w:r>
      <w:r>
        <w:rPr>
          <w:color w:val="222222"/>
        </w:rPr>
        <w:t xml:space="preserve">) </w:t>
      </w:r>
      <w:r>
        <w:rPr>
          <w:color w:val="222222"/>
        </w:rPr>
        <w:fldChar w:fldCharType="begin"/>
      </w:r>
      <w:r>
        <w:rPr>
          <w:color w:val="222222"/>
        </w:rPr>
        <w:instrText xml:space="preserve"> ADDIN ZOTERO_ITEM CSL_CITATION {"citationID":"kQNr6Q39","properties":{"formattedCitation":"(Hu et al., 2019)","plainCitation":"(Hu et al., 2019)","noteIndex":0},"citationItems":[{"id":14730,"uris":["http://zotero.org/users/6855795/items/Z5H29PCY"],"itemData":{"id":14730,"type":"article-journal","abstract":"In this work, several commonly used conductive substrates as electrocatalysts for hydrogen evolution reaction (HER) and oxygen evolution reaction (OER) under alkaline conditions were studied, including nickel foam (Ni foam), copper foam (Cu foam), nickel mesh (Ni mesh) and stainless steel mesh (SS mesh). Ni foam and SS mesh are demonstrated as high-performance and stable electrocatalysts for HER and OER, respectively. For HER, Ni foam exhibited an overpotential of 0.217 V at a current density of 10 mA cm−2 with a Tafel slope of 130 mV dec−1, which were larger than that of the commercial Pt/C catalyst, but smaller than that of the other conductive substrates. Meanwhile, the SS mesh showed the best electrocatalytic performance for OER with an overpotential of 0.277 V at a current density of 10 mA cm−2 and a Tafel slope of 51 mV dec−1. Its electrocatalytic performance not only exceeded those of the other conductive substrates but also the commercial RuO2 catalyst. Moreover, both Ni foam and SS mesh exhibited high stability during HER and OER, respectively. Furthermore, in the two-electrode system with Ni foam used as the cathode and SS mesh used as the anode, they enable a current density of 10 mA cm−2 at a small cell voltage of 1.74 V. This value is comparable to or exceeding the values of previously reported electrocatalysts for overall water splitting. In addition, NiO on the surface of Ni foam may be the real active species for HER, NiO and FeOx on the surface of SS mesh may be the active species for OER. The abundant and commercial availability, long-term stability and low-cost property of nickel foam and stainless steel mesh enable their large-scale practical application in water splitting.","container-title":"RSC Advances","DOI":"10.1039/C9RA07258F","ISSN":"2046-2069","issue":"54","journalAbbreviation":"RSC Adv.","language":"en","note":"publisher: The Royal Society of Chemistry","page":"31563-31571","source":"pubs-rsc-org.tudelft.idm.oclc.org","title":"Nickel foam and stainless steel mesh as electrocatalysts for hydrogen evolution reaction, oxygen evolution reaction and overall water splitting in alkaline media","volume":"9","author":[{"family":"Hu","given":"Xiaoyan"},{"family":"Tian","given":"Xuemei"},{"family":"Lin","given":"Ying-Wu"},{"family":"Wang","given":"Zhonghua"}],"issued":{"date-parts":[["2019",10,1]]}}}],"schema":"https://github.com/citation-style-language/schema/raw/master/csl-citation.json"} </w:instrText>
      </w:r>
      <w:r>
        <w:rPr>
          <w:color w:val="222222"/>
        </w:rPr>
        <w:fldChar w:fldCharType="separate"/>
      </w:r>
      <w:r>
        <w:rPr>
          <w:rFonts w:cs="Times New Roman"/>
        </w:rPr>
        <w:t>(Hu et al., 2019)</w:t>
      </w:r>
      <w:r>
        <w:rPr>
          <w:color w:val="222222"/>
        </w:rPr>
        <w:fldChar w:fldCharType="end"/>
      </w:r>
      <w:r>
        <w:rPr>
          <w:color w:val="222222"/>
        </w:rPr>
        <w:t xml:space="preserve">, the peaks at 855.13 eV and 857.14 eV correspond to Ni oxides, </w:t>
      </w:r>
      <w:proofErr w:type="spellStart"/>
      <w:r>
        <w:rPr>
          <w:color w:val="222222"/>
        </w:rPr>
        <w:t>NiO</w:t>
      </w:r>
      <w:proofErr w:type="spellEnd"/>
      <w:r>
        <w:rPr>
          <w:color w:val="222222"/>
        </w:rPr>
        <w:t xml:space="preserve"> and Ni</w:t>
      </w:r>
      <w:r>
        <w:rPr>
          <w:color w:val="222222"/>
          <w:vertAlign w:val="subscript"/>
        </w:rPr>
        <w:t>2</w:t>
      </w:r>
      <w:r>
        <w:rPr>
          <w:color w:val="222222"/>
        </w:rPr>
        <w:t>O</w:t>
      </w:r>
      <w:r>
        <w:rPr>
          <w:color w:val="222222"/>
          <w:vertAlign w:val="subscript"/>
        </w:rPr>
        <w:t>3</w:t>
      </w:r>
      <w:r>
        <w:rPr>
          <w:color w:val="222222"/>
        </w:rPr>
        <w:t>, respectively. The Ni 2p1/2 region, the peak at 870 eV corresponds to Ni metal (Ni</w:t>
      </w:r>
      <w:r>
        <w:rPr>
          <w:color w:val="222222"/>
          <w:vertAlign w:val="superscript"/>
        </w:rPr>
        <w:t>0</w:t>
      </w:r>
      <w:r>
        <w:rPr>
          <w:color w:val="222222"/>
        </w:rPr>
        <w:t xml:space="preserve">), the peaks at 872.8 eV and 874.89 eV correspond to Ni oxides, </w:t>
      </w:r>
      <w:proofErr w:type="spellStart"/>
      <w:r>
        <w:rPr>
          <w:color w:val="222222"/>
        </w:rPr>
        <w:t>NiO</w:t>
      </w:r>
      <w:proofErr w:type="spellEnd"/>
      <w:r>
        <w:rPr>
          <w:color w:val="222222"/>
        </w:rPr>
        <w:t xml:space="preserve"> and Ni</w:t>
      </w:r>
      <w:r>
        <w:rPr>
          <w:color w:val="222222"/>
          <w:vertAlign w:val="subscript"/>
        </w:rPr>
        <w:t>2</w:t>
      </w:r>
      <w:r>
        <w:rPr>
          <w:color w:val="222222"/>
        </w:rPr>
        <w:t>O</w:t>
      </w:r>
      <w:r>
        <w:rPr>
          <w:color w:val="222222"/>
          <w:vertAlign w:val="subscript"/>
        </w:rPr>
        <w:t>3</w:t>
      </w:r>
      <w:r>
        <w:rPr>
          <w:color w:val="222222"/>
        </w:rPr>
        <w:t xml:space="preserve">, respectively </w:t>
      </w:r>
      <w:r>
        <w:rPr>
          <w:color w:val="222222"/>
        </w:rPr>
        <w:fldChar w:fldCharType="begin"/>
      </w:r>
      <w:r>
        <w:rPr>
          <w:color w:val="222222"/>
        </w:rPr>
        <w:instrText xml:space="preserve"> ADDIN ZOTERO_ITEM CSL_CITATION {"citationID":"CTEvY4Eh","properties":{"formattedCitation":"(Cheng et al., 2017)","plainCitation":"(Cheng et al., 2017)","noteIndex":0},"citationItems":[{"id":14725,"uris":["http://zotero.org/users/6855795/items/5GMW6MM6"],"itemData":{"id":14725,"type":"article-journal","abstract":"Herein, interconnected hierarchical NiCo2O4 microspheres (IH-NiCo2O4) were prepared via a solvothermal method followed by an annealing treatment. IH-NiCo2O4 possesses large tunnels and abundant mesopores, which are in favor of their applications in energy storage field. When employed as an electrode material for supercapacitors, IH-NiCo2O4 exhibits a high specific capacitance of 1822.3 F g−1 at a current density of 2 A g−1, an excellent rate property of 68.6% capacity retention at 20 A g−1, and an 87.6% specific capacitance retention of its initial value after 7000 cycles at a high current density of 10 A g−1, superior to those of IH-Co3O4. Furthermore, an optimal asymmetric supercapacitor (ASC) was also constructed with IH-NiCo2O4 as the positive electrode and graphene as the negative electrode. The ASC delivers a high energy density of 39.4 Wh kg−1 at a power density of 800 W kg−1. Even at a high power density of 8000 W kg−1, the energy density still reaches 27.2 Wh kg−1. Moreover, the ASC shows a good cycling stability with 80.1% specific capacitance retention after 5000 cycles at 6 A g−1. The excellent electrochemical performance of IH-NiCo2O4 makes it a promising electrode material in energy storage field.","container-title":"Dalton Transactions","DOI":"10.1039/C7DT01289F","ISSN":"1477-9234","issue":"28","journalAbbreviation":"Dalton Trans.","language":"en","note":"publisher: The Royal Society of Chemistry","page":"9201-9209","source":"pubs-rsc-org.tudelft.idm.oclc.org","title":"Interconnected hierarchical NiCo2O4 microspheres as high-performance electrode materials for supercapacitors","volume":"46","author":[{"family":"Cheng","given":"Ming"},{"family":"Fan","given":"Hongsheng"},{"family":"Song","given":"Yuanjun"},{"family":"Cui","given":"Yimin"},{"family":"Wang","given":"Rongming"}],"issued":{"date-parts":[["2017",7,18]]}}}],"schema":"https://github.com/citation-style-language/schema/raw/master/csl-citation.json"} </w:instrText>
      </w:r>
      <w:r>
        <w:rPr>
          <w:color w:val="222222"/>
        </w:rPr>
        <w:fldChar w:fldCharType="separate"/>
      </w:r>
      <w:r>
        <w:rPr>
          <w:rFonts w:cs="Times New Roman"/>
        </w:rPr>
        <w:t>(Cheng et al., 2017)</w:t>
      </w:r>
      <w:r>
        <w:rPr>
          <w:color w:val="222222"/>
        </w:rPr>
        <w:fldChar w:fldCharType="end"/>
      </w:r>
      <w:r>
        <w:rPr>
          <w:color w:val="222222"/>
        </w:rPr>
        <w:t>. All other peaks are satellite peaks. Figure S4C shows the O 1s spectrum with three subpeaks at 529.09, 531.26 and 532.99 eV are corresponding to oxygen in nickel oxides (</w:t>
      </w:r>
      <w:proofErr w:type="spellStart"/>
      <w:r>
        <w:rPr>
          <w:color w:val="222222"/>
        </w:rPr>
        <w:t>NiO</w:t>
      </w:r>
      <w:proofErr w:type="spellEnd"/>
      <w:r>
        <w:rPr>
          <w:color w:val="222222"/>
        </w:rPr>
        <w:t xml:space="preserve"> and Ni</w:t>
      </w:r>
      <w:r>
        <w:rPr>
          <w:color w:val="222222"/>
          <w:vertAlign w:val="subscript"/>
        </w:rPr>
        <w:t>2</w:t>
      </w:r>
      <w:r>
        <w:rPr>
          <w:color w:val="222222"/>
        </w:rPr>
        <w:t>O</w:t>
      </w:r>
      <w:r>
        <w:rPr>
          <w:color w:val="222222"/>
          <w:vertAlign w:val="subscript"/>
        </w:rPr>
        <w:t>3</w:t>
      </w:r>
      <w:r>
        <w:rPr>
          <w:color w:val="222222"/>
        </w:rPr>
        <w:t>), Ni(OH)</w:t>
      </w:r>
      <w:r>
        <w:rPr>
          <w:color w:val="222222"/>
          <w:vertAlign w:val="subscript"/>
        </w:rPr>
        <w:t>2</w:t>
      </w:r>
      <w:r>
        <w:rPr>
          <w:color w:val="222222"/>
        </w:rPr>
        <w:t xml:space="preserve"> and water adsorbed on Ni plate, respectively </w:t>
      </w:r>
      <w:r>
        <w:rPr>
          <w:color w:val="222222"/>
        </w:rPr>
        <w:fldChar w:fldCharType="begin"/>
      </w:r>
      <w:r>
        <w:rPr>
          <w:color w:val="222222"/>
        </w:rPr>
        <w:instrText xml:space="preserve"> ADDIN ZOTERO_ITEM CSL_CITATION {"citationID":"cH7ECs4U","properties":{"formattedCitation":"(Cheng et al., 2017)","plainCitation":"(Cheng et al., 2017)","noteIndex":0},"citationItems":[{"id":14725,"uris":["http://zotero.org/users/6855795/items/5GMW6MM6"],"itemData":{"id":14725,"type":"article-journal","abstract":"Herein, interconnected hierarchical NiCo2O4 microspheres (IH-NiCo2O4) were prepared via a solvothermal method followed by an annealing treatment. IH-NiCo2O4 possesses large tunnels and abundant mesopores, which are in favor of their applications in energy storage field. When employed as an electrode material for supercapacitors, IH-NiCo2O4 exhibits a high specific capacitance of 1822.3 F g−1 at a current density of 2 A g−1, an excellent rate property of 68.6% capacity retention at 20 A g−1, and an 87.6% specific capacitance retention of its initial value after 7000 cycles at a high current density of 10 A g−1, superior to those of IH-Co3O4. Furthermore, an optimal asymmetric supercapacitor (ASC) was also constructed with IH-NiCo2O4 as the positive electrode and graphene as the negative electrode. The ASC delivers a high energy density of 39.4 Wh kg−1 at a power density of 800 W kg−1. Even at a high power density of 8000 W kg−1, the energy density still reaches 27.2 Wh kg−1. Moreover, the ASC shows a good cycling stability with 80.1% specific capacitance retention after 5000 cycles at 6 A g−1. The excellent electrochemical performance of IH-NiCo2O4 makes it a promising electrode material in energy storage field.","container-title":"Dalton Transactions","DOI":"10.1039/C7DT01289F","ISSN":"1477-9234","issue":"28","journalAbbreviation":"Dalton Trans.","language":"en","note":"publisher: The Royal Society of Chemistry","page":"9201-9209","source":"pubs-rsc-org.tudelft.idm.oclc.org","title":"Interconnected hierarchical NiCo2O4 microspheres as high-performance electrode materials for supercapacitors","volume":"46","author":[{"family":"Cheng","given":"Ming"},{"family":"Fan","given":"Hongsheng"},{"family":"Song","given":"Yuanjun"},{"family":"Cui","given":"Yimin"},{"family":"Wang","given":"Rongming"}],"issued":{"date-parts":[["2017",7,18]]}}}],"schema":"https://github.com/citation-style-language/schema/raw/master/csl-citation.json"} </w:instrText>
      </w:r>
      <w:r>
        <w:rPr>
          <w:color w:val="222222"/>
        </w:rPr>
        <w:fldChar w:fldCharType="separate"/>
      </w:r>
      <w:r>
        <w:rPr>
          <w:rFonts w:cs="Times New Roman"/>
        </w:rPr>
        <w:t>(Cheng et al., 2017)</w:t>
      </w:r>
      <w:r>
        <w:rPr>
          <w:color w:val="222222"/>
        </w:rPr>
        <w:fldChar w:fldCharType="end"/>
      </w:r>
      <w:r>
        <w:rPr>
          <w:color w:val="222222"/>
        </w:rPr>
        <w:t>.</w:t>
      </w:r>
    </w:p>
    <w:p w14:paraId="1032DEB3" w14:textId="5A6EE481" w:rsidR="00771FBA" w:rsidRDefault="00771FBA" w:rsidP="00771FBA">
      <w:pPr>
        <w:spacing w:line="480" w:lineRule="auto"/>
        <w:rPr>
          <w:sz w:val="20"/>
          <w:szCs w:val="20"/>
        </w:rPr>
      </w:pPr>
      <w:r>
        <w:rPr>
          <w:noProof/>
          <w:sz w:val="20"/>
          <w:szCs w:val="20"/>
        </w:rPr>
        <w:drawing>
          <wp:inline distT="0" distB="0" distL="0" distR="0" wp14:anchorId="02D2FE29" wp14:editId="3B58D84D">
            <wp:extent cx="5727700" cy="5334000"/>
            <wp:effectExtent l="0" t="0" r="0" b="0"/>
            <wp:docPr id="553747850" name="Picture 6" descr="A diagram of different energy leve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diagram of different energy levels&#10;&#10;AI-generated content may be incorrec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27700" cy="5334000"/>
                    </a:xfrm>
                    <a:prstGeom prst="rect">
                      <a:avLst/>
                    </a:prstGeom>
                    <a:noFill/>
                    <a:ln>
                      <a:noFill/>
                    </a:ln>
                  </pic:spPr>
                </pic:pic>
              </a:graphicData>
            </a:graphic>
          </wp:inline>
        </w:drawing>
      </w:r>
      <w:r>
        <w:rPr>
          <w:b/>
          <w:bCs/>
        </w:rPr>
        <w:t>Supplementary Figure S4</w:t>
      </w:r>
      <w:r>
        <w:t xml:space="preserve"> XPS spectra of Ni plate (A) Survey, (B) Ni 2p, (C) O 1s</w:t>
      </w:r>
    </w:p>
    <w:p w14:paraId="0A962982" w14:textId="77777777" w:rsidR="00771FBA" w:rsidRDefault="00771FBA" w:rsidP="00771FBA">
      <w:pPr>
        <w:shd w:val="clear" w:color="auto" w:fill="FFFFFF"/>
        <w:jc w:val="both"/>
        <w:rPr>
          <w:color w:val="222222"/>
        </w:rPr>
      </w:pPr>
    </w:p>
    <w:p w14:paraId="3DC327B5" w14:textId="77777777" w:rsidR="00771FBA" w:rsidRDefault="00771FBA" w:rsidP="00771FBA">
      <w:pPr>
        <w:shd w:val="clear" w:color="auto" w:fill="FFFFFF"/>
        <w:jc w:val="both"/>
        <w:rPr>
          <w:color w:val="222222"/>
        </w:rPr>
      </w:pPr>
      <w:r>
        <w:rPr>
          <w:color w:val="222222"/>
        </w:rPr>
        <w:t>XPS spectra of 25 nm thick Cu coated on Ni plate (Pristine) is shown in Figure S5. The survey spectrum of 25 nm Cu-Ni plate showed the elements like C, Cu, and O present on the surface (Figure S5A). The peaks corresponds Ni in high resolution Ni 2p spectrum (Figure S5B) is negligible, due to complete coverage of Cu coating on Ni plate using PVD. High resolution spectrum of Cu 2p is curve fitted as shown in Figure S5C. The peaks at 931.83 and 951.70 eV correspond to Cu metal (Cu</w:t>
      </w:r>
      <w:r>
        <w:rPr>
          <w:color w:val="222222"/>
          <w:vertAlign w:val="superscript"/>
        </w:rPr>
        <w:t>0</w:t>
      </w:r>
      <w:r>
        <w:rPr>
          <w:color w:val="222222"/>
        </w:rPr>
        <w:t>), the peaks at 933.59 and 954.42 eV correspond to Cu</w:t>
      </w:r>
      <w:r>
        <w:rPr>
          <w:color w:val="222222"/>
          <w:vertAlign w:val="superscript"/>
        </w:rPr>
        <w:t>2+</w:t>
      </w:r>
      <w:r>
        <w:rPr>
          <w:color w:val="222222"/>
        </w:rPr>
        <w:t xml:space="preserve"> (Cu</w:t>
      </w:r>
      <w:r>
        <w:rPr>
          <w:color w:val="222222"/>
          <w:vertAlign w:val="subscript"/>
        </w:rPr>
        <w:t>2</w:t>
      </w:r>
      <w:r>
        <w:rPr>
          <w:color w:val="222222"/>
        </w:rPr>
        <w:t xml:space="preserve">O), respectively </w:t>
      </w:r>
      <w:r>
        <w:rPr>
          <w:color w:val="222222"/>
        </w:rPr>
        <w:fldChar w:fldCharType="begin"/>
      </w:r>
      <w:r>
        <w:rPr>
          <w:color w:val="222222"/>
        </w:rPr>
        <w:instrText xml:space="preserve"> ADDIN ZOTERO_ITEM CSL_CITATION {"citationID":"HSGYz58B","properties":{"formattedCitation":"(Jiang et al., 2021)","plainCitation":"(Jiang et al., 2021)","noteIndex":0},"citationItems":[{"id":14733,"uris":["http://zotero.org/users/6855795/items/B7GD92TI"],"itemData":{"id":14733,"type":"article-journal","abstract":"Transition metal hydroxides have attracted a lot of attention as the electrode materials for supercapacitors owing to their relatively high theoretical capacity, low cost, and facile preparation methods. However, their low intrinsic conductivity deteriorates their high-rate performance and cycling stability. Here, self-supported sheets-on-wire CuO@Ni(OH)2/Zn(OH)2 (CuO@NiZn) composite nanowire arrays were successfully grown on copper foam. The CuO nanowire backbone provided enhanced structural stability and a highly efficient electron-conducting pathway from the active hydroxide nanosheets to the current collector. The resulting CuO@NiZn as the battery-type electrode for supercapacitor application delivered a high capacity of 306.2 mAh g?1 at a current density of 0.8 A g?1 and a very stable capacity of 195.1 mAh g?1 at 4 A g?1 for 10,000 charge–discharge cycles. Furthermore, a quasi-solid-state hybrid supercapacitor (qss HSC) was assembled with active carbon, exhibiting 125.3 mAh g?1 at 0.8 A g?1 and a capacity of 41.6 mAh g?1 at 4 A g?1 for 5000 charge–discharge cycles. Furthermore, the qss HSC was able to deliver a high energy density of about 116.0 Wh kg?1. Even at the highest power density of 7.8 kW kg?1, an energy density of 20.5 Wh kg?1 could still be obtained. Finally, 14 red light-emitting diodes were lit up by a single qss HSC at different bending states, showing good potential for flexible energy storage applications.","container-title":"Processes","DOI":"10.3390/pr9040680","ISSN":"2227-9717","issue":"4","language":"en","license":"http://creativecommons.org/licenses/by/3.0/","note":"number: 4\npublisher: Multidisciplinary Digital Publishing Institute","page":"680","source":"www.mdpi.com","title":"Self-Supported Sheets-on-Wire CuO@Ni(OH)2/Zn(OH)2 Nanoarrays for High-Performance Flexible Quasi-Solid-State Supercapacitor","volume":"9","author":[{"family":"Jiang","given":"Jianyang"},{"family":"Liu","given":"Xiong Xiong"},{"family":"Han","given":"Jiayu"},{"family":"Hu","given":"Ke"},{"family":"Chen","given":"Jun Song"}],"issued":{"date-parts":[["2021",4]]}}}],"schema":"https://github.com/citation-style-language/schema/raw/master/csl-citation.json"} </w:instrText>
      </w:r>
      <w:r>
        <w:rPr>
          <w:color w:val="222222"/>
        </w:rPr>
        <w:fldChar w:fldCharType="separate"/>
      </w:r>
      <w:r>
        <w:rPr>
          <w:rFonts w:cs="Times New Roman"/>
        </w:rPr>
        <w:t>(Jiang et al., 2021)</w:t>
      </w:r>
      <w:r>
        <w:rPr>
          <w:color w:val="222222"/>
        </w:rPr>
        <w:fldChar w:fldCharType="end"/>
      </w:r>
      <w:r>
        <w:rPr>
          <w:color w:val="222222"/>
        </w:rPr>
        <w:t xml:space="preserve">. Figure S5D </w:t>
      </w:r>
      <w:r>
        <w:t xml:space="preserve">shows the O 1s spectrum with three subpeaks at 529.80, 531.87 and 534.0 eV are corresponding to oxygen in </w:t>
      </w:r>
      <w:proofErr w:type="spellStart"/>
      <w:r>
        <w:t>CuO</w:t>
      </w:r>
      <w:proofErr w:type="spellEnd"/>
      <w:r>
        <w:t>, Cu(OH)</w:t>
      </w:r>
      <w:r>
        <w:rPr>
          <w:vertAlign w:val="subscript"/>
        </w:rPr>
        <w:t>2</w:t>
      </w:r>
      <w:r>
        <w:t xml:space="preserve"> </w:t>
      </w:r>
      <w:r>
        <w:rPr>
          <w:color w:val="222222"/>
        </w:rPr>
        <w:t xml:space="preserve">and adsorbed water molecules, respectively </w:t>
      </w:r>
      <w:r>
        <w:rPr>
          <w:color w:val="222222"/>
        </w:rPr>
        <w:fldChar w:fldCharType="begin"/>
      </w:r>
      <w:r>
        <w:rPr>
          <w:color w:val="222222"/>
        </w:rPr>
        <w:instrText xml:space="preserve"> ADDIN ZOTERO_ITEM CSL_CITATION {"citationID":"gS1EgPi6","properties":{"formattedCitation":"(Jiang et al., 2021)","plainCitation":"(Jiang et al., 2021)","noteIndex":0},"citationItems":[{"id":14733,"uris":["http://zotero.org/users/6855795/items/B7GD92TI"],"itemData":{"id":14733,"type":"article-journal","abstract":"Transition metal hydroxides have attracted a lot of attention as the electrode materials for supercapacitors owing to their relatively high theoretical capacity, low cost, and facile preparation methods. However, their low intrinsic conductivity deteriorates their high-rate performance and cycling stability. Here, self-supported sheets-on-wire CuO@Ni(OH)2/Zn(OH)2 (CuO@NiZn) composite nanowire arrays were successfully grown on copper foam. The CuO nanowire backbone provided enhanced structural stability and a highly efficient electron-conducting pathway from the active hydroxide nanosheets to the current collector. The resulting CuO@NiZn as the battery-type electrode for supercapacitor application delivered a high capacity of 306.2 mAh g?1 at a current density of 0.8 A g?1 and a very stable capacity of 195.1 mAh g?1 at 4 A g?1 for 10,000 charge–discharge cycles. Furthermore, a quasi-solid-state hybrid supercapacitor (qss HSC) was assembled with active carbon, exhibiting 125.3 mAh g?1 at 0.8 A g?1 and a capacity of 41.6 mAh g?1 at 4 A g?1 for 5000 charge–discharge cycles. Furthermore, the qss HSC was able to deliver a high energy density of about 116.0 Wh kg?1. Even at the highest power density of 7.8 kW kg?1, an energy density of 20.5 Wh kg?1 could still be obtained. Finally, 14 red light-emitting diodes were lit up by a single qss HSC at different bending states, showing good potential for flexible energy storage applications.","container-title":"Processes","DOI":"10.3390/pr9040680","ISSN":"2227-9717","issue":"4","language":"en","license":"http://creativecommons.org/licenses/by/3.0/","note":"number: 4\npublisher: Multidisciplinary Digital Publishing Institute","page":"680","source":"www.mdpi.com","title":"Self-Supported Sheets-on-Wire CuO@Ni(OH)2/Zn(OH)2 Nanoarrays for High-Performance Flexible Quasi-Solid-State Supercapacitor","volume":"9","author":[{"family":"Jiang","given":"Jianyang"},{"family":"Liu","given":"Xiong Xiong"},{"family":"Han","given":"Jiayu"},{"family":"Hu","given":"Ke"},{"family":"Chen","given":"Jun Song"}],"issued":{"date-parts":[["2021",4]]}}}],"schema":"https://github.com/citation-style-language/schema/raw/master/csl-citation.json"} </w:instrText>
      </w:r>
      <w:r>
        <w:rPr>
          <w:color w:val="222222"/>
        </w:rPr>
        <w:fldChar w:fldCharType="separate"/>
      </w:r>
      <w:r>
        <w:rPr>
          <w:rFonts w:cs="Times New Roman"/>
        </w:rPr>
        <w:t>(Jiang et al., 2021)</w:t>
      </w:r>
      <w:r>
        <w:rPr>
          <w:color w:val="222222"/>
        </w:rPr>
        <w:fldChar w:fldCharType="end"/>
      </w:r>
      <w:r>
        <w:rPr>
          <w:color w:val="222222"/>
        </w:rPr>
        <w:t>.</w:t>
      </w:r>
    </w:p>
    <w:p w14:paraId="02D72F89" w14:textId="4CEAF63F" w:rsidR="00771FBA" w:rsidRDefault="00771FBA" w:rsidP="00771FBA">
      <w:pPr>
        <w:spacing w:line="480" w:lineRule="auto"/>
      </w:pPr>
      <w:r>
        <w:rPr>
          <w:noProof/>
        </w:rPr>
        <w:drawing>
          <wp:inline distT="0" distB="0" distL="0" distR="0" wp14:anchorId="736D2C27" wp14:editId="31DC735B">
            <wp:extent cx="5892800" cy="5454650"/>
            <wp:effectExtent l="0" t="0" r="0" b="0"/>
            <wp:docPr id="516361481" name="Picture 5" descr="A diagram of different energy level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diagram of different energy levels&#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92800" cy="5454650"/>
                    </a:xfrm>
                    <a:prstGeom prst="rect">
                      <a:avLst/>
                    </a:prstGeom>
                    <a:noFill/>
                    <a:ln>
                      <a:noFill/>
                    </a:ln>
                  </pic:spPr>
                </pic:pic>
              </a:graphicData>
            </a:graphic>
          </wp:inline>
        </w:drawing>
      </w:r>
      <w:r>
        <w:rPr>
          <w:b/>
          <w:bCs/>
        </w:rPr>
        <w:t>Supplementary Figure S5</w:t>
      </w:r>
      <w:r>
        <w:t xml:space="preserve"> XPS spectra of pristine 25 nm Cu coated on Ni. (A) Survey, (B) Ni 2p, (C) Cu 2p, (D) O 1s</w:t>
      </w:r>
    </w:p>
    <w:p w14:paraId="14475A03" w14:textId="77777777" w:rsidR="00771FBA" w:rsidRDefault="00771FBA" w:rsidP="00771FBA">
      <w:pPr>
        <w:shd w:val="clear" w:color="auto" w:fill="FFFFFF"/>
        <w:jc w:val="both"/>
        <w:rPr>
          <w:color w:val="222222"/>
        </w:rPr>
      </w:pPr>
    </w:p>
    <w:p w14:paraId="1054E443" w14:textId="77777777" w:rsidR="00771FBA" w:rsidRDefault="00771FBA" w:rsidP="00771FBA">
      <w:pPr>
        <w:shd w:val="clear" w:color="auto" w:fill="FFFFFF"/>
        <w:jc w:val="both"/>
        <w:rPr>
          <w:color w:val="222222"/>
        </w:rPr>
      </w:pPr>
      <w:r>
        <w:rPr>
          <w:color w:val="222222"/>
        </w:rPr>
        <w:t>XPS spectra of spent 25 nm Cu-Ni cathode is shown in Figure S6. The survey spectrum of spent 25 nm Cu-Ni cathode showed the elements like C, Ni, N, Cu, and O present on the surface (Figure S6A). The Ni peaks in high resolution Ni 2p spectrum (Figure S6B) is barely visible. This could be due the removal of Cu from cathode plate during  NO</w:t>
      </w:r>
      <w:r>
        <w:rPr>
          <w:color w:val="222222"/>
          <w:vertAlign w:val="subscript"/>
        </w:rPr>
        <w:t>3</w:t>
      </w:r>
      <w:r>
        <w:rPr>
          <w:color w:val="222222"/>
          <w:vertAlign w:val="superscript"/>
        </w:rPr>
        <w:t>-</w:t>
      </w:r>
      <w:r>
        <w:rPr>
          <w:color w:val="222222"/>
        </w:rPr>
        <w:t xml:space="preserve"> reduction, most likely from the area of pits on the surface </w:t>
      </w:r>
      <w:r>
        <w:rPr>
          <w:color w:val="222222"/>
        </w:rPr>
        <w:fldChar w:fldCharType="begin"/>
      </w:r>
      <w:r>
        <w:rPr>
          <w:color w:val="222222"/>
        </w:rPr>
        <w:instrText xml:space="preserve"> ADDIN ZOTERO_ITEM CSL_CITATION {"citationID":"L6zWuHrx","properties":{"formattedCitation":"(Eiler et al., 2020)","plainCitation":"(Eiler et al., 2020)","noteIndex":0},"citationItems":[{"id":13184,"uris":["http://zotero.org/users/6855795/items/BNZN2VFU"],"itemData":{"id":13184,"type":"article-journal","abstract":"Reliability and long-term performance are the key features of modern energy storage and conversion devices. The long-term stability depends entirely on the electrochemical and corrosion properties of device components. Single-phase mesoporous Ni-rich Ni-Pt thin films have shown to be a promising electrocatalyst for hydrogen evolution reaction (HER) and therefore with potential application in fuel cells, water electrolysers or similar devices. The HER activity of the mesoporous Ni-Pt films is reliable and stable in 0.5 M H2SO4 up to 200 linear sweep voltammetry cycles, however leaching of Ni occurs in absence of cathodic polarisation. Long-term electrolysis measurements at a HER current of –10 mA/cm2 reveal an increase in potential over time, which is minimised when the Pt content is increased. In 1 M NaOH, the material is stable up to an applied anodic limit of 1.5 V vs. Ag|AgCl although surface passivation takes place at 1.0 V. If the anodic limit does not exceed 0.6 V vs. Ag|AgCl, a fully reversible redox reaction is observed by cyclic voltammetry, with redox charges increasing with Pt content and scan speed. In addition, significantly higher current densities are recorded for mesoporous films compared to dense counterparts. This charge/discharge behaviour of the redox reaction indicates that the mesoporous Ni-Pt films may as well be used as an electrochemical supercapacitor. As a HER catalyst, the material is safely applicable in alkaline media.","container-title":"Electrochimica Acta","DOI":"10.1016/j.electacta.2020.136952","ISSN":"0013-4686","journalAbbreviation":"Electrochimica Acta","page":"136952","source":"ScienceDirect","title":"Electrochemical characterisation of multifunctional electrocatalytic mesoporous Ni-Pt thin films in alkaline and acidic media","volume":"359","author":[{"family":"Eiler","given":"Konrad"},{"family":"Krawiec","given":"Halina"},{"family":"Kozina","given":"Iryna"},{"family":"Sort","given":"Jordi"},{"family":"Pellicer","given":"Eva"}],"issued":{"date-parts":[["2020",11,1]]}}}],"schema":"https://github.com/citation-style-language/schema/raw/master/csl-citation.json"} </w:instrText>
      </w:r>
      <w:r>
        <w:rPr>
          <w:color w:val="222222"/>
        </w:rPr>
        <w:fldChar w:fldCharType="separate"/>
      </w:r>
      <w:r>
        <w:t>(Eiler et al., 2020)</w:t>
      </w:r>
      <w:r>
        <w:rPr>
          <w:color w:val="222222"/>
        </w:rPr>
        <w:fldChar w:fldCharType="end"/>
      </w:r>
      <w:r>
        <w:rPr>
          <w:color w:val="FF0000"/>
        </w:rPr>
        <w:t xml:space="preserve">. </w:t>
      </w:r>
      <w:r>
        <w:rPr>
          <w:color w:val="222222"/>
        </w:rPr>
        <w:t>High resolution spectrum of Cu 2p is curve fitted as shown in Figure S6C. The peaks at 933.59 and 951.70 eV correspond to Cu metal (Cu</w:t>
      </w:r>
      <w:r>
        <w:rPr>
          <w:color w:val="222222"/>
          <w:vertAlign w:val="superscript"/>
        </w:rPr>
        <w:t>0</w:t>
      </w:r>
      <w:r>
        <w:rPr>
          <w:color w:val="222222"/>
        </w:rPr>
        <w:t xml:space="preserve">). The </w:t>
      </w:r>
      <w:r>
        <w:t xml:space="preserve">peaks at 933.59 and 954.42 eV </w:t>
      </w:r>
      <w:r>
        <w:rPr>
          <w:color w:val="222222"/>
        </w:rPr>
        <w:t>correspond to Cu</w:t>
      </w:r>
      <w:r>
        <w:rPr>
          <w:color w:val="222222"/>
          <w:vertAlign w:val="superscript"/>
        </w:rPr>
        <w:t>2+</w:t>
      </w:r>
      <w:r>
        <w:rPr>
          <w:color w:val="222222"/>
        </w:rPr>
        <w:t xml:space="preserve"> (Cu</w:t>
      </w:r>
      <w:r>
        <w:rPr>
          <w:color w:val="222222"/>
          <w:vertAlign w:val="subscript"/>
        </w:rPr>
        <w:t>2</w:t>
      </w:r>
      <w:r>
        <w:rPr>
          <w:color w:val="222222"/>
        </w:rPr>
        <w:t xml:space="preserve">O), respectively </w:t>
      </w:r>
      <w:r>
        <w:rPr>
          <w:color w:val="222222"/>
        </w:rPr>
        <w:fldChar w:fldCharType="begin"/>
      </w:r>
      <w:r>
        <w:rPr>
          <w:color w:val="222222"/>
        </w:rPr>
        <w:instrText xml:space="preserve"> ADDIN ZOTERO_ITEM CSL_CITATION {"citationID":"GFcRTQVe","properties":{"formattedCitation":"(Jiang et al., 2021)","plainCitation":"(Jiang et al., 2021)","noteIndex":0},"citationItems":[{"id":14733,"uris":["http://zotero.org/users/6855795/items/B7GD92TI"],"itemData":{"id":14733,"type":"article-journal","abstract":"Transition metal hydroxides have attracted a lot of attention as the electrode materials for supercapacitors owing to their relatively high theoretical capacity, low cost, and facile preparation methods. However, their low intrinsic conductivity deteriorates their high-rate performance and cycling stability. Here, self-supported sheets-on-wire CuO@Ni(OH)2/Zn(OH)2 (CuO@NiZn) composite nanowire arrays were successfully grown on copper foam. The CuO nanowire backbone provided enhanced structural stability and a highly efficient electron-conducting pathway from the active hydroxide nanosheets to the current collector. The resulting CuO@NiZn as the battery-type electrode for supercapacitor application delivered a high capacity of 306.2 mAh g?1 at a current density of 0.8 A g?1 and a very stable capacity of 195.1 mAh g?1 at 4 A g?1 for 10,000 charge–discharge cycles. Furthermore, a quasi-solid-state hybrid supercapacitor (qss HSC) was assembled with active carbon, exhibiting 125.3 mAh g?1 at 0.8 A g?1 and a capacity of 41.6 mAh g?1 at 4 A g?1 for 5000 charge–discharge cycles. Furthermore, the qss HSC was able to deliver a high energy density of about 116.0 Wh kg?1. Even at the highest power density of 7.8 kW kg?1, an energy density of 20.5 Wh kg?1 could still be obtained. Finally, 14 red light-emitting diodes were lit up by a single qss HSC at different bending states, showing good potential for flexible energy storage applications.","container-title":"Processes","DOI":"10.3390/pr9040680","ISSN":"2227-9717","issue":"4","language":"en","license":"http://creativecommons.org/licenses/by/3.0/","note":"number: 4\npublisher: Multidisciplinary Digital Publishing Institute","page":"680","source":"www.mdpi.com","title":"Self-Supported Sheets-on-Wire CuO@Ni(OH)2/Zn(OH)2 Nanoarrays for High-Performance Flexible Quasi-Solid-State Supercapacitor","volume":"9","author":[{"family":"Jiang","given":"Jianyang"},{"family":"Liu","given":"Xiong Xiong"},{"family":"Han","given":"Jiayu"},{"family":"Hu","given":"Ke"},{"family":"Chen","given":"Jun Song"}],"issued":{"date-parts":[["2021",4]]}}}],"schema":"https://github.com/citation-style-language/schema/raw/master/csl-citation.json"} </w:instrText>
      </w:r>
      <w:r>
        <w:rPr>
          <w:color w:val="222222"/>
        </w:rPr>
        <w:fldChar w:fldCharType="separate"/>
      </w:r>
      <w:r>
        <w:rPr>
          <w:rFonts w:cs="Times New Roman"/>
        </w:rPr>
        <w:t>(Jiang et al., 2021)</w:t>
      </w:r>
      <w:r>
        <w:rPr>
          <w:color w:val="222222"/>
        </w:rPr>
        <w:fldChar w:fldCharType="end"/>
      </w:r>
      <w:r>
        <w:rPr>
          <w:color w:val="222222"/>
        </w:rPr>
        <w:t>. The small shift in the position of Cu</w:t>
      </w:r>
      <w:r>
        <w:rPr>
          <w:color w:val="222222"/>
          <w:vertAlign w:val="superscript"/>
        </w:rPr>
        <w:t>2+</w:t>
      </w:r>
      <w:r>
        <w:rPr>
          <w:color w:val="222222"/>
        </w:rPr>
        <w:t xml:space="preserve"> peaks is due to the adsorption of nitrogen compounds from the electrolyte on the surface of the cathode. Figure S6D shows the O 1s spectrum with three subpeaks at 529.8, 531.87, and 534.0 eV correspond to </w:t>
      </w:r>
      <w:r>
        <w:t xml:space="preserve">oxygen in </w:t>
      </w:r>
      <w:proofErr w:type="spellStart"/>
      <w:r>
        <w:t>CuO</w:t>
      </w:r>
      <w:proofErr w:type="spellEnd"/>
      <w:r>
        <w:t>, Cu(OH)</w:t>
      </w:r>
      <w:r>
        <w:rPr>
          <w:vertAlign w:val="subscript"/>
        </w:rPr>
        <w:t>2</w:t>
      </w:r>
      <w:r>
        <w:t xml:space="preserve">, and </w:t>
      </w:r>
      <w:r>
        <w:rPr>
          <w:color w:val="222222"/>
        </w:rPr>
        <w:t xml:space="preserve">adsorbed water, respectively </w:t>
      </w:r>
      <w:r>
        <w:rPr>
          <w:color w:val="222222"/>
        </w:rPr>
        <w:fldChar w:fldCharType="begin"/>
      </w:r>
      <w:r>
        <w:rPr>
          <w:color w:val="222222"/>
        </w:rPr>
        <w:instrText xml:space="preserve"> ADDIN ZOTERO_ITEM CSL_CITATION {"citationID":"DwxhPWlv","properties":{"formattedCitation":"(Jiang et al., 2021)","plainCitation":"(Jiang et al., 2021)","noteIndex":0},"citationItems":[{"id":14733,"uris":["http://zotero.org/users/6855795/items/B7GD92TI"],"itemData":{"id":14733,"type":"article-journal","abstract":"Transition metal hydroxides have attracted a lot of attention as the electrode materials for supercapacitors owing to their relatively high theoretical capacity, low cost, and facile preparation methods. However, their low intrinsic conductivity deteriorates their high-rate performance and cycling stability. Here, self-supported sheets-on-wire CuO@Ni(OH)2/Zn(OH)2 (CuO@NiZn) composite nanowire arrays were successfully grown on copper foam. The CuO nanowire backbone provided enhanced structural stability and a highly efficient electron-conducting pathway from the active hydroxide nanosheets to the current collector. The resulting CuO@NiZn as the battery-type electrode for supercapacitor application delivered a high capacity of 306.2 mAh g?1 at a current density of 0.8 A g?1 and a very stable capacity of 195.1 mAh g?1 at 4 A g?1 for 10,000 charge–discharge cycles. Furthermore, a quasi-solid-state hybrid supercapacitor (qss HSC) was assembled with active carbon, exhibiting 125.3 mAh g?1 at 0.8 A g?1 and a capacity of 41.6 mAh g?1 at 4 A g?1 for 5000 charge–discharge cycles. Furthermore, the qss HSC was able to deliver a high energy density of about 116.0 Wh kg?1. Even at the highest power density of 7.8 kW kg?1, an energy density of 20.5 Wh kg?1 could still be obtained. Finally, 14 red light-emitting diodes were lit up by a single qss HSC at different bending states, showing good potential for flexible energy storage applications.","container-title":"Processes","DOI":"10.3390/pr9040680","ISSN":"2227-9717","issue":"4","language":"en","license":"http://creativecommons.org/licenses/by/3.0/","note":"number: 4\npublisher: Multidisciplinary Digital Publishing Institute","page":"680","source":"www.mdpi.com","title":"Self-Supported Sheets-on-Wire CuO@Ni(OH)2/Zn(OH)2 Nanoarrays for High-Performance Flexible Quasi-Solid-State Supercapacitor","volume":"9","author":[{"family":"Jiang","given":"Jianyang"},{"family":"Liu","given":"Xiong Xiong"},{"family":"Han","given":"Jiayu"},{"family":"Hu","given":"Ke"},{"family":"Chen","given":"Jun Song"}],"issued":{"date-parts":[["2021",4]]}}}],"schema":"https://github.com/citation-style-language/schema/raw/master/csl-citation.json"} </w:instrText>
      </w:r>
      <w:r>
        <w:rPr>
          <w:color w:val="222222"/>
        </w:rPr>
        <w:fldChar w:fldCharType="separate"/>
      </w:r>
      <w:r>
        <w:rPr>
          <w:rFonts w:cs="Times New Roman"/>
        </w:rPr>
        <w:t>(Jiang et al., 2021)</w:t>
      </w:r>
      <w:r>
        <w:rPr>
          <w:color w:val="222222"/>
        </w:rPr>
        <w:fldChar w:fldCharType="end"/>
      </w:r>
      <w:r>
        <w:rPr>
          <w:color w:val="222222"/>
        </w:rPr>
        <w:t xml:space="preserve">. Figure S6E shows the N 1s spectrum with two </w:t>
      </w:r>
      <w:r>
        <w:t xml:space="preserve">subpeaks at 399.5 and 396.0 eV corresponding </w:t>
      </w:r>
      <w:r>
        <w:rPr>
          <w:color w:val="222222"/>
        </w:rPr>
        <w:t>to *NH</w:t>
      </w:r>
      <w:r>
        <w:rPr>
          <w:color w:val="222222"/>
          <w:vertAlign w:val="subscript"/>
        </w:rPr>
        <w:t>3</w:t>
      </w:r>
      <w:r>
        <w:rPr>
          <w:color w:val="222222"/>
        </w:rPr>
        <w:t xml:space="preserve"> and  N</w:t>
      </w:r>
      <w:r>
        <w:rPr>
          <w:color w:val="222222"/>
          <w:vertAlign w:val="superscript"/>
        </w:rPr>
        <w:t>3-</w:t>
      </w:r>
      <w:r>
        <w:rPr>
          <w:color w:val="222222"/>
        </w:rPr>
        <w:t xml:space="preserve"> adsorbed on the Cu-Ni cathode plate, respectively </w:t>
      </w:r>
      <w:r>
        <w:rPr>
          <w:color w:val="222222"/>
        </w:rPr>
        <w:fldChar w:fldCharType="begin"/>
      </w:r>
      <w:r>
        <w:rPr>
          <w:color w:val="222222"/>
        </w:rPr>
        <w:instrText xml:space="preserve"> ADDIN ZOTERO_ITEM CSL_CITATION {"citationID":"p1m0mvv2","properties":{"formattedCitation":"(Baltrusaitis et al., 2009; Kehrer et al., 2019; Yoon et al., 2019)","plainCitation":"(Baltrusaitis et al., 2009; Kehrer et al., 2019; Yoon et al., 2019)","noteIndex":0},"citationItems":[{"id":14735,"uris":["http://zotero.org/users/6855795/items/EST7GR4Z"],"itemData":{"id":14735,"type":"article-journal","abstract":"The adsorption of nitrogen dioxide on gamma aluminium oxide (γ-Al2O3) and alpha iron oxide (α-Fe2O3) particle surfaces under various conditions of relative humidity, presence of molecular oxygen and UV light has been investigated. X-Ray photoelectron spectroscopy (XPS) is used to monitor the different surface species that form under these environmental conditions. Adsorption of NO2 on aluminum oxide particle surfaces results primarily in the formation of surface nitrate, NO3− with an oxidation state of +5, as indicated by a peak with binding energy of 407.3 eV in the N1s region. An additional minority species, sensitive to the presence of relative humidity and molecular oxygen, is also observed in the N1s region with lower binding energy of 405.9 eV. This peak is assigned to a surface species in the +4 oxidation state. When irradiated with UV light, other species form on the surface. These surface-bound photochemical products all have lower binding energy, between 400 and 402 eV, indicating reduced nitrogen species in the range of N oxidations states spanning +1 to −1. Co-adsorbed water decreases the amount of these reduced surface-bound products while the presence of molecular oxygen completely suppresses the formation of all reduced nitrogen species on aluminum oxide particle surfaces. For NO2 on iron oxide particle surfaces, photoreduction is enhanced relative to γ-Al2O3 and surface bound photoreduced species are observed under all environmental conditions. Complementing the experimental data, N1s core electron binding energies (CEBEs) were calculated using DFT for a number of nitrogen-containing species in the gas phase and adsorbed on an Al8O12cluster. A range of CEBEs is calculated for various nitrogen species in different adsorption modes and oxidation states. These calculated values are discussed in light of the peaks observed in the XPS N1s region and the possible species that form following NO2 adsorption and photoreaction on metal oxide particle surfaces under different conditions of relative humidity, presence of molecular oxygen and UV light.","container-title":"Physical Chemistry Chemical Physics","DOI":"10.1039/B907584D","ISSN":"1463-9084","issue":"37","journalAbbreviation":"Phys. Chem. Chem. Phys.","language":"en","note":"publisher: The Royal Society of Chemistry","page":"8295-8305","source":"pubs-rsc-org.tudelft.idm.oclc.org","title":"XPS study of nitrogen dioxide adsorption on metal oxide particle surfaces under different environmental conditions","volume":"11","author":[{"family":"Baltrusaitis","given":"Jonas"},{"family":"Jayaweera","given":"Pradeep M."},{"family":"Grassian","given":"Vicki H."}],"issued":{"date-parts":[["2009",9,15]]}}},{"id":14743,"uris":["http://zotero.org/users/6855795/items/JNCNY98S"],"itemData":{"id":14743,"type":"article-journal","abstract":"The chemical reaction of imine groups with vapors of trifluoroacetic anhydride (TFAA) was investigated in detail with X-ray photoelectron spectroscopy (XPS) for the potential application in chemical derivatization (CD) studies of plasma treated surfaces. Imine groups were at first prepared by converting surface amine groups of a polymer precursor using a common vapor phase derivatization reaction with fluorine tagged aldehydes and ketones. The originally low yield for the imine forming reaction of approx. 50%, performed under standard conditions was dramatically enhanced up to 100% by an own developed procedure using a catalyst. This step allowed to obtain a consistent quantification and interpretation of the complex surface reaction products from different types of imine groups derivatized by TFAA.","container-title":"Plasma Processes and Polymers","DOI":"10.1002/ppap.201800160","ISSN":"1612-8869","issue":"4","language":"en","license":"© 2019 The Authors. Plasma Processes and Polymers Published by WILEY-VCH Verlag GmbH &amp; Co.KGaA, Weinheim.","note":"_eprint: https://onlinelibrary.wiley.com/doi/pdf/10.1002/ppap.201800160","page":"1800160","source":"Wiley Online Library","title":"XPS investigation on the reactivity of surface imine groups with TFAA","volume":"16","author":[{"family":"Kehrer","given":"Matthias"},{"family":"Duchoslav","given":"Jiri"},{"family":"Hinterreiter","given":"Andreas"},{"family":"Cobet","given":"Munise"},{"family":"Mehic","given":"Alen"},{"family":"Stehrer","given":"Thomas"},{"family":"Stifter","given":"David"}],"issued":{"date-parts":[["2019"]]}}},{"id":14746,"uris":["http://zotero.org/users/6855795/items/JBRY6IW5"],"itemData":{"id":14746,"type":"article-journal","abstract":"Aqueous ion–solid interfacial interactions at an electric double layer (EDL) are studied in various research fields. However, details of the interactions at the EDL are still not fully understood due to complexity induced from the specific conditions of the solid and liquid parts. Several technical tools for ion–solid interfacial probing are experimentally and practically proposed, but they still show limitations in applicability due to the complicated measurements. Recently, an energy conversion device based on ion dynamics (called ionovoltaic device) was also introduced as another monitoring tool for the EDL, showing applicability as a novel probing method for interfacial interactions. Herein, a monitoring technique for specific ion adsorption (Cu2+ and Pb2+ in the range of 5 × 10−6–1000 × 10−6m) in the solid–liquid interface based on the ionovoltaic device is newly demonstrated. The specific ion adsorption and the corresponding interfacial potentials profiles are also investigated to elucidate a working mechanism of the device. The results give the insight of molecular-level ion adsorption through macroscopic water-motion-induced electricity generation. The simple and cost-effective detection of the device provides an innovative route for monitoring specific adsorption and expandability as a monitoring tool for various solid–liquid interfacial phenomena that are unrevealed.","container-title":"Advanced Materials","DOI":"10.1002/adma.201806268","ISSN":"1521-4095","issue":"3","language":"en","license":"© 2018 WILEY-VCH Verlag GmbH &amp; Co. KGaA, Weinheim","note":"_eprint: https://onlinelibrary.wiley.com/doi/pdf/10.1002/adma.201806268","page":"1806268","source":"Wiley Online Library","title":"A Surface-Functionalized Ionovoltaic Device for Probing Ion-Specific Adsorption at the Solid–Liquid Interface","volume":"31","author":[{"family":"Yoon","given":"Sun Geun"},{"family":"Yang","given":"YoungJun"},{"family":"Jin","given":"Huding"},{"family":"Lee","given":"Won Hyung"},{"family":"Sohn","given":"Ahrum"},{"family":"Kim","given":"Sang-Woo"},{"family":"Park","given":"Junwoo"},{"family":"Kim","given":"Youn Sang"}],"issued":{"date-parts":[["2019"]]}}}],"schema":"https://github.com/citation-style-language/schema/raw/master/csl-citation.json"} </w:instrText>
      </w:r>
      <w:r>
        <w:rPr>
          <w:color w:val="222222"/>
        </w:rPr>
        <w:fldChar w:fldCharType="separate"/>
      </w:r>
      <w:r>
        <w:rPr>
          <w:rFonts w:cs="Times New Roman"/>
        </w:rPr>
        <w:t>(Baltrusaitis et al., 2009; Kehrer et al., 2019; Yoon et al., 2019)</w:t>
      </w:r>
      <w:r>
        <w:rPr>
          <w:color w:val="222222"/>
        </w:rPr>
        <w:fldChar w:fldCharType="end"/>
      </w:r>
      <w:r>
        <w:rPr>
          <w:color w:val="222222"/>
        </w:rPr>
        <w:t>.</w:t>
      </w:r>
    </w:p>
    <w:p w14:paraId="23C5872E" w14:textId="77777777" w:rsidR="00771FBA" w:rsidRDefault="00771FBA" w:rsidP="00771FBA">
      <w:pPr>
        <w:spacing w:line="480" w:lineRule="auto"/>
        <w:ind w:right="40"/>
        <w:rPr>
          <w:sz w:val="20"/>
          <w:szCs w:val="20"/>
        </w:rPr>
      </w:pPr>
    </w:p>
    <w:p w14:paraId="6BDFA2F6" w14:textId="77777777" w:rsidR="00771FBA" w:rsidRDefault="00771FBA" w:rsidP="00771FBA">
      <w:pPr>
        <w:spacing w:line="480" w:lineRule="auto"/>
        <w:ind w:right="40"/>
        <w:rPr>
          <w:sz w:val="20"/>
          <w:szCs w:val="20"/>
        </w:rPr>
      </w:pPr>
    </w:p>
    <w:p w14:paraId="7D7B9A7E" w14:textId="77777777" w:rsidR="00771FBA" w:rsidRDefault="00771FBA" w:rsidP="00771FBA">
      <w:pPr>
        <w:spacing w:line="480" w:lineRule="auto"/>
        <w:ind w:right="40"/>
        <w:rPr>
          <w:sz w:val="20"/>
          <w:szCs w:val="20"/>
        </w:rPr>
      </w:pPr>
    </w:p>
    <w:p w14:paraId="09E2DFF8" w14:textId="77777777" w:rsidR="00771FBA" w:rsidRDefault="00771FBA" w:rsidP="00771FBA">
      <w:pPr>
        <w:spacing w:line="480" w:lineRule="auto"/>
        <w:ind w:right="40"/>
        <w:rPr>
          <w:sz w:val="20"/>
          <w:szCs w:val="20"/>
        </w:rPr>
      </w:pPr>
    </w:p>
    <w:p w14:paraId="5FB6DAE0" w14:textId="77777777" w:rsidR="00771FBA" w:rsidRDefault="00771FBA" w:rsidP="00771FBA">
      <w:pPr>
        <w:spacing w:line="480" w:lineRule="auto"/>
        <w:ind w:right="40"/>
        <w:rPr>
          <w:sz w:val="20"/>
          <w:szCs w:val="20"/>
        </w:rPr>
      </w:pPr>
    </w:p>
    <w:p w14:paraId="04F79C8B" w14:textId="77777777" w:rsidR="00771FBA" w:rsidRDefault="00771FBA" w:rsidP="00771FBA">
      <w:pPr>
        <w:spacing w:line="480" w:lineRule="auto"/>
        <w:ind w:right="40"/>
        <w:rPr>
          <w:sz w:val="20"/>
          <w:szCs w:val="20"/>
        </w:rPr>
      </w:pPr>
    </w:p>
    <w:p w14:paraId="2A3D39D1" w14:textId="0A6062AC" w:rsidR="00771FBA" w:rsidRDefault="00771FBA" w:rsidP="00771FBA">
      <w:pPr>
        <w:spacing w:line="480" w:lineRule="auto"/>
        <w:ind w:right="40"/>
        <w:rPr>
          <w:sz w:val="20"/>
          <w:szCs w:val="20"/>
        </w:rPr>
      </w:pPr>
      <w:r>
        <w:rPr>
          <w:noProof/>
          <w:sz w:val="20"/>
          <w:szCs w:val="20"/>
        </w:rPr>
        <w:lastRenderedPageBreak/>
        <w:drawing>
          <wp:inline distT="0" distB="0" distL="0" distR="0" wp14:anchorId="3E43DC64" wp14:editId="252259D1">
            <wp:extent cx="5518150" cy="7664450"/>
            <wp:effectExtent l="0" t="0" r="0" b="0"/>
            <wp:docPr id="1992877267" name="Picture 4" descr="A collection of diagrams showing different types of energ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collection of diagrams showing different types of energy&#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18150" cy="7664450"/>
                    </a:xfrm>
                    <a:prstGeom prst="rect">
                      <a:avLst/>
                    </a:prstGeom>
                    <a:noFill/>
                    <a:ln>
                      <a:noFill/>
                    </a:ln>
                  </pic:spPr>
                </pic:pic>
              </a:graphicData>
            </a:graphic>
          </wp:inline>
        </w:drawing>
      </w:r>
    </w:p>
    <w:p w14:paraId="09DFDF0C" w14:textId="77777777" w:rsidR="00771FBA" w:rsidRDefault="00771FBA" w:rsidP="00771FBA">
      <w:pPr>
        <w:ind w:right="40"/>
        <w:jc w:val="both"/>
      </w:pPr>
      <w:r>
        <w:rPr>
          <w:b/>
          <w:bCs/>
        </w:rPr>
        <w:lastRenderedPageBreak/>
        <w:t>Supplementary Figure S6</w:t>
      </w:r>
      <w:r>
        <w:t xml:space="preserve">  XPS spectra of spent 25 nm Cu coated on Ni. (A) Survey, (B) Ni 2p, (C) Cu 2p, (D) O 1s, (E) N 1s</w:t>
      </w:r>
    </w:p>
    <w:p w14:paraId="6C7C73D9" w14:textId="77777777" w:rsidR="00771FBA" w:rsidRDefault="00771FBA" w:rsidP="00771FBA">
      <w:pPr>
        <w:jc w:val="both"/>
      </w:pPr>
      <w:r>
        <w:t xml:space="preserve">Figure S7 depicts </w:t>
      </w:r>
      <w:bookmarkStart w:id="2" w:name="_Hlk171327505"/>
      <w:r>
        <w:t>a comparison of XPS spectra of Ni 2p for Ni plate without coating (Figure S7A), 25 nm Cu-Ni electrode (pristine) (Figure S7B), and 25 nm Cu-Ni electrode (spent) (Figure S7C). A noticeable difference in peaks can be observed for all three electrodes. The Ni plate without a coating exhibits the highest peaks, corresponding to Ni</w:t>
      </w:r>
      <w:r>
        <w:rPr>
          <w:vertAlign w:val="superscript"/>
        </w:rPr>
        <w:t>0</w:t>
      </w:r>
      <w:r>
        <w:t>, Ni</w:t>
      </w:r>
      <w:r>
        <w:rPr>
          <w:vertAlign w:val="superscript"/>
        </w:rPr>
        <w:t>2+</w:t>
      </w:r>
      <w:r>
        <w:t>, and Ni</w:t>
      </w:r>
      <w:r>
        <w:rPr>
          <w:vertAlign w:val="superscript"/>
        </w:rPr>
        <w:t>3+</w:t>
      </w:r>
      <w:r>
        <w:t>, whereas no peaks were detected for the Cu-Ni electrode (pristine). For the Cu-Ni electrode (spent), Ni peaks are barely visible, indicating that some Cu has been removed, exposing the Ni surface during NO</w:t>
      </w:r>
      <w:r>
        <w:rPr>
          <w:vertAlign w:val="subscript"/>
        </w:rPr>
        <w:t>3</w:t>
      </w:r>
      <w:r>
        <w:t>RR facilitating the NO</w:t>
      </w:r>
      <w:r>
        <w:rPr>
          <w:vertAlign w:val="subscript"/>
        </w:rPr>
        <w:t>3</w:t>
      </w:r>
      <w:r>
        <w:rPr>
          <w:vertAlign w:val="superscript"/>
        </w:rPr>
        <w:t>-</w:t>
      </w:r>
      <w:r>
        <w:t xml:space="preserve"> reduction </w:t>
      </w:r>
      <w:bookmarkEnd w:id="2"/>
    </w:p>
    <w:p w14:paraId="7D753747" w14:textId="5E92001A" w:rsidR="00771FBA" w:rsidRDefault="00771FBA" w:rsidP="00771FBA">
      <w:pPr>
        <w:rPr>
          <w:b/>
          <w:bCs/>
        </w:rPr>
      </w:pPr>
      <w:r>
        <w:rPr>
          <w:b/>
          <w:bCs/>
          <w:noProof/>
        </w:rPr>
        <w:drawing>
          <wp:inline distT="0" distB="0" distL="0" distR="0" wp14:anchorId="4C6ABB6C" wp14:editId="21506AEA">
            <wp:extent cx="5943600" cy="2061210"/>
            <wp:effectExtent l="0" t="0" r="0" b="0"/>
            <wp:docPr id="654549279" name="Picture 3" descr="A graph of a graph showing the value of a stock mar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graph of a graph showing the value of a stock market&#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l="5478" r="4082"/>
                    <a:stretch>
                      <a:fillRect/>
                    </a:stretch>
                  </pic:blipFill>
                  <pic:spPr bwMode="auto">
                    <a:xfrm>
                      <a:off x="0" y="0"/>
                      <a:ext cx="5943600" cy="2061210"/>
                    </a:xfrm>
                    <a:prstGeom prst="rect">
                      <a:avLst/>
                    </a:prstGeom>
                    <a:noFill/>
                    <a:ln>
                      <a:noFill/>
                    </a:ln>
                  </pic:spPr>
                </pic:pic>
              </a:graphicData>
            </a:graphic>
          </wp:inline>
        </w:drawing>
      </w:r>
    </w:p>
    <w:p w14:paraId="14D68AEB" w14:textId="77777777" w:rsidR="00771FBA" w:rsidRDefault="00771FBA" w:rsidP="00771FBA">
      <w:pPr>
        <w:jc w:val="both"/>
      </w:pPr>
      <w:r>
        <w:rPr>
          <w:b/>
          <w:bCs/>
        </w:rPr>
        <w:t>Supplementary Figure S7</w:t>
      </w:r>
      <w:r>
        <w:t xml:space="preserve"> XPS spectra of Ni 2p of (A) Ni plate without coating, (B) 25 nm Cu-Ni electrode (pristine), (C) 25 nm Cu-Ni electrode (spent)</w:t>
      </w:r>
    </w:p>
    <w:p w14:paraId="059C110C" w14:textId="77777777" w:rsidR="00771FBA" w:rsidRDefault="00771FBA" w:rsidP="00771FBA">
      <w:pPr>
        <w:spacing w:line="480" w:lineRule="auto"/>
        <w:rPr>
          <w:noProof/>
        </w:rPr>
      </w:pPr>
    </w:p>
    <w:p w14:paraId="4F46AB43" w14:textId="77777777" w:rsidR="00771FBA" w:rsidRDefault="00771FBA" w:rsidP="00771FBA">
      <w:pPr>
        <w:spacing w:line="480" w:lineRule="auto"/>
        <w:rPr>
          <w:noProof/>
        </w:rPr>
      </w:pPr>
    </w:p>
    <w:p w14:paraId="65250221" w14:textId="77777777" w:rsidR="00771FBA" w:rsidRDefault="00771FBA" w:rsidP="00771FBA">
      <w:pPr>
        <w:spacing w:line="480" w:lineRule="auto"/>
        <w:rPr>
          <w:noProof/>
        </w:rPr>
      </w:pPr>
    </w:p>
    <w:p w14:paraId="57CF8F31" w14:textId="77777777" w:rsidR="00771FBA" w:rsidRDefault="00771FBA" w:rsidP="00771FBA">
      <w:pPr>
        <w:spacing w:line="480" w:lineRule="auto"/>
        <w:rPr>
          <w:noProof/>
        </w:rPr>
      </w:pPr>
    </w:p>
    <w:p w14:paraId="50B53785" w14:textId="77777777" w:rsidR="00771FBA" w:rsidRDefault="00771FBA" w:rsidP="00771FBA">
      <w:pPr>
        <w:spacing w:line="480" w:lineRule="auto"/>
        <w:rPr>
          <w:noProof/>
        </w:rPr>
      </w:pPr>
    </w:p>
    <w:p w14:paraId="531FD8A9" w14:textId="77777777" w:rsidR="00771FBA" w:rsidRDefault="00771FBA" w:rsidP="00771FBA">
      <w:pPr>
        <w:spacing w:line="480" w:lineRule="auto"/>
        <w:rPr>
          <w:noProof/>
        </w:rPr>
      </w:pPr>
    </w:p>
    <w:p w14:paraId="07C7A217" w14:textId="77777777" w:rsidR="00771FBA" w:rsidRDefault="00771FBA" w:rsidP="00771FBA">
      <w:pPr>
        <w:spacing w:line="480" w:lineRule="auto"/>
        <w:rPr>
          <w:noProof/>
        </w:rPr>
      </w:pPr>
    </w:p>
    <w:p w14:paraId="10A205E7" w14:textId="77777777" w:rsidR="00771FBA" w:rsidRDefault="00771FBA" w:rsidP="00771FBA">
      <w:pPr>
        <w:spacing w:line="480" w:lineRule="auto"/>
        <w:rPr>
          <w:noProof/>
        </w:rPr>
      </w:pPr>
    </w:p>
    <w:p w14:paraId="32C93594" w14:textId="77777777" w:rsidR="00771FBA" w:rsidRDefault="00771FBA" w:rsidP="00771FBA">
      <w:pPr>
        <w:jc w:val="both"/>
        <w:rPr>
          <w:noProof/>
        </w:rPr>
      </w:pPr>
      <w:bookmarkStart w:id="3" w:name="_Hlk191474256"/>
    </w:p>
    <w:p w14:paraId="6C192D41" w14:textId="77777777" w:rsidR="00771FBA" w:rsidRDefault="00771FBA" w:rsidP="00771FBA">
      <w:pPr>
        <w:jc w:val="both"/>
        <w:rPr>
          <w:noProof/>
        </w:rPr>
      </w:pPr>
    </w:p>
    <w:p w14:paraId="1CEA0330" w14:textId="77777777" w:rsidR="00771FBA" w:rsidRDefault="00771FBA" w:rsidP="00771FBA">
      <w:pPr>
        <w:jc w:val="both"/>
        <w:rPr>
          <w:noProof/>
        </w:rPr>
      </w:pPr>
      <w:r>
        <w:rPr>
          <w:noProof/>
        </w:rPr>
        <w:t>A schematic diagram depicting the mechanism of Cu removal from the cathode during NO</w:t>
      </w:r>
      <w:r>
        <w:rPr>
          <w:noProof/>
          <w:vertAlign w:val="subscript"/>
        </w:rPr>
        <w:t>3</w:t>
      </w:r>
      <w:r>
        <w:rPr>
          <w:noProof/>
          <w:vertAlign w:val="superscript"/>
        </w:rPr>
        <w:t>-</w:t>
      </w:r>
      <w:r>
        <w:rPr>
          <w:noProof/>
        </w:rPr>
        <w:t xml:space="preserve"> reduction is illustrated in Figure S8. The Cu particles detach from the electrode during the electrocatalytic process of NO</w:t>
      </w:r>
      <w:r>
        <w:rPr>
          <w:noProof/>
          <w:vertAlign w:val="subscript"/>
        </w:rPr>
        <w:t>3</w:t>
      </w:r>
      <w:r>
        <w:rPr>
          <w:noProof/>
          <w:vertAlign w:val="superscript"/>
        </w:rPr>
        <w:t>-</w:t>
      </w:r>
      <w:r>
        <w:rPr>
          <w:noProof/>
        </w:rPr>
        <w:t xml:space="preserve">  reduction, revealing the Ni plate and forming pits.</w:t>
      </w:r>
    </w:p>
    <w:bookmarkEnd w:id="3"/>
    <w:p w14:paraId="5889038E" w14:textId="16B42EA0" w:rsidR="00771FBA" w:rsidRDefault="00771FBA" w:rsidP="00771FBA">
      <w:r>
        <w:t xml:space="preserve"> </w:t>
      </w:r>
      <w:r>
        <w:rPr>
          <w:noProof/>
        </w:rPr>
        <w:drawing>
          <wp:inline distT="0" distB="0" distL="0" distR="0" wp14:anchorId="35A508EF" wp14:editId="79BB04CD">
            <wp:extent cx="5905500" cy="2686050"/>
            <wp:effectExtent l="0" t="0" r="0" b="0"/>
            <wp:docPr id="1706752473" name="Picture 2" descr="A diagram of a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diagram of a structure&#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t="5495" b="-2"/>
                    <a:stretch>
                      <a:fillRect/>
                    </a:stretch>
                  </pic:blipFill>
                  <pic:spPr bwMode="auto">
                    <a:xfrm>
                      <a:off x="0" y="0"/>
                      <a:ext cx="5905500" cy="2686050"/>
                    </a:xfrm>
                    <a:prstGeom prst="rect">
                      <a:avLst/>
                    </a:prstGeom>
                    <a:noFill/>
                    <a:ln>
                      <a:noFill/>
                    </a:ln>
                  </pic:spPr>
                </pic:pic>
              </a:graphicData>
            </a:graphic>
          </wp:inline>
        </w:drawing>
      </w:r>
    </w:p>
    <w:p w14:paraId="1B5A447E" w14:textId="77777777" w:rsidR="00771FBA" w:rsidRDefault="00771FBA" w:rsidP="00771FBA">
      <w:pPr>
        <w:ind w:right="40"/>
        <w:jc w:val="both"/>
        <w:rPr>
          <w:b/>
          <w:bCs/>
        </w:rPr>
      </w:pPr>
    </w:p>
    <w:p w14:paraId="71024A72" w14:textId="77777777" w:rsidR="00771FBA" w:rsidRDefault="00771FBA" w:rsidP="00771FBA">
      <w:pPr>
        <w:ind w:right="40"/>
        <w:jc w:val="both"/>
        <w:rPr>
          <w:bCs/>
        </w:rPr>
      </w:pPr>
      <w:r>
        <w:rPr>
          <w:b/>
          <w:bCs/>
        </w:rPr>
        <w:t>Supplementary Figure S8</w:t>
      </w:r>
      <w:r>
        <w:rPr>
          <w:bCs/>
        </w:rPr>
        <w:t xml:space="preserve"> Schematic of Cu removal mechanism on Cu-Ni cathode during </w:t>
      </w:r>
      <w:r>
        <w:rPr>
          <w:noProof/>
        </w:rPr>
        <w:t>NO</w:t>
      </w:r>
      <w:r>
        <w:rPr>
          <w:noProof/>
          <w:vertAlign w:val="subscript"/>
        </w:rPr>
        <w:t>3</w:t>
      </w:r>
      <w:r>
        <w:rPr>
          <w:noProof/>
          <w:vertAlign w:val="superscript"/>
        </w:rPr>
        <w:t>-</w:t>
      </w:r>
      <w:r>
        <w:rPr>
          <w:noProof/>
        </w:rPr>
        <w:t xml:space="preserve"> </w:t>
      </w:r>
      <w:r>
        <w:rPr>
          <w:bCs/>
        </w:rPr>
        <w:t xml:space="preserve"> reduction</w:t>
      </w:r>
    </w:p>
    <w:p w14:paraId="7FEEEBD9" w14:textId="77777777" w:rsidR="00771FBA" w:rsidRDefault="00771FBA" w:rsidP="00771FBA">
      <w:pPr>
        <w:spacing w:line="480" w:lineRule="auto"/>
        <w:ind w:right="40"/>
        <w:rPr>
          <w:bCs/>
          <w:sz w:val="20"/>
          <w:szCs w:val="20"/>
        </w:rPr>
      </w:pPr>
    </w:p>
    <w:p w14:paraId="0BDAEE87" w14:textId="77777777" w:rsidR="00771FBA" w:rsidRDefault="00771FBA" w:rsidP="00771FBA">
      <w:pPr>
        <w:ind w:right="40"/>
        <w:jc w:val="both"/>
      </w:pPr>
      <w:bookmarkStart w:id="4" w:name="_Hlk171327442"/>
    </w:p>
    <w:p w14:paraId="68FD6CE9" w14:textId="77777777" w:rsidR="00771FBA" w:rsidRDefault="00771FBA" w:rsidP="00771FBA">
      <w:pPr>
        <w:ind w:right="40"/>
        <w:jc w:val="both"/>
      </w:pPr>
    </w:p>
    <w:p w14:paraId="5D480581" w14:textId="77777777" w:rsidR="00771FBA" w:rsidRDefault="00771FBA" w:rsidP="00771FBA">
      <w:pPr>
        <w:ind w:right="40"/>
        <w:jc w:val="both"/>
      </w:pPr>
    </w:p>
    <w:p w14:paraId="2F07FE0E" w14:textId="77777777" w:rsidR="00771FBA" w:rsidRDefault="00771FBA" w:rsidP="00771FBA">
      <w:pPr>
        <w:ind w:right="40"/>
        <w:jc w:val="both"/>
      </w:pPr>
    </w:p>
    <w:p w14:paraId="60AA30E8" w14:textId="77777777" w:rsidR="00771FBA" w:rsidRDefault="00771FBA" w:rsidP="00771FBA">
      <w:pPr>
        <w:ind w:right="40"/>
        <w:jc w:val="both"/>
      </w:pPr>
    </w:p>
    <w:p w14:paraId="7C231B9B" w14:textId="77777777" w:rsidR="00771FBA" w:rsidRDefault="00771FBA" w:rsidP="00771FBA">
      <w:pPr>
        <w:ind w:right="40"/>
        <w:jc w:val="both"/>
      </w:pPr>
    </w:p>
    <w:p w14:paraId="69E6F5A7" w14:textId="77777777" w:rsidR="00771FBA" w:rsidRDefault="00771FBA" w:rsidP="00771FBA">
      <w:pPr>
        <w:ind w:right="40"/>
        <w:jc w:val="both"/>
      </w:pPr>
    </w:p>
    <w:p w14:paraId="5C6AFAAE" w14:textId="77777777" w:rsidR="00771FBA" w:rsidRDefault="00771FBA" w:rsidP="00771FBA">
      <w:pPr>
        <w:ind w:right="40"/>
        <w:jc w:val="both"/>
      </w:pPr>
    </w:p>
    <w:p w14:paraId="0F1FDE73" w14:textId="77777777" w:rsidR="00771FBA" w:rsidRDefault="00771FBA" w:rsidP="00771FBA">
      <w:pPr>
        <w:ind w:right="40"/>
        <w:jc w:val="both"/>
      </w:pPr>
    </w:p>
    <w:p w14:paraId="54A59135" w14:textId="77777777" w:rsidR="00771FBA" w:rsidRDefault="00771FBA" w:rsidP="00771FBA">
      <w:pPr>
        <w:ind w:right="40"/>
        <w:jc w:val="both"/>
      </w:pPr>
    </w:p>
    <w:p w14:paraId="6EC07744" w14:textId="77777777" w:rsidR="00771FBA" w:rsidRDefault="00771FBA" w:rsidP="00771FBA">
      <w:pPr>
        <w:ind w:right="40"/>
        <w:jc w:val="both"/>
        <w:rPr>
          <w:b/>
          <w:bCs/>
        </w:rPr>
      </w:pPr>
      <w:r>
        <w:t xml:space="preserve">The comparison of reduction curves for 25 nm, 50 nm, and 100 nm Cu-Ni electrodes is illustrated in Figure S9. It is evident from the figure that as the thickness of Cu is increased, the current density decreases because as film thickness increases there is a evolution of microstructure and increased surface roughness </w:t>
      </w:r>
      <w:r>
        <w:fldChar w:fldCharType="begin"/>
      </w:r>
      <w:r>
        <w:instrText xml:space="preserve"> ADDIN ZOTERO_ITEM CSL_CITATION {"citationID":"wmjSXdks","properties":{"formattedCitation":"(Lin et al., 2017)","plainCitation":"(Lin et al., 2017)","noteIndex":0},"citationItems":[{"id":14224,"uris":["http://zotero.org/users/6855795/items/UUBVZQ9V"],"itemData":{"id":14224,"type":"article-journal","abstract":"The research and development of high temperature superconducting (HTS) films, especially ReBa2Cu3O7− δ (REBCO or RE123; RE=Y, Gd, or other rare earths) yttrium-based coated conductors, has generated widespread interest for the potential applications of the second generation superconducting films. In view of commercialization, however, the maximum superconducting currents for coated conductors should be increased further. Unfortunately, it has been frequently observed that the average critical current density J c decreases with an increase in film thickness. The thickness effect is still a hurdle for large-scale production, especially in pulsed laser deposition and metal organic deposition processes. An engineering current of more than 1 000 A/cm is desired owing to the high cost of 2G superconducting materials. The present work attempts to review the evolution of various issues subject to the thickness effect, including the microstructure, epitaxial texture, surface roughness, pinning force, oxygen deficiency, residual stress, copper-rich layers, and segregation of elements. Furthermore, recent progress in enhancing the performance of superconductors especially in terms of critical current density is illustrated, such as the use of heavy doping. Further understanding of the thickness effect is extremely important for large-scale commercial development of the second generation high temperature superconductors.","container-title":"Advances in Manufacturing","DOI":"10.1007/s40436-017-0173-x","ISSN":"2195-3597","issue":"2","journalAbbreviation":"Adv. Manuf.","language":"en","license":"2017 Shanghai University and Springer-Verlag Berlin Heidelberg","note":"Company: Springer\nDistributor: Springer\nInstitution: Springer\nLabel: Springer\nnumber: 2\npublisher: Shanghai University","page":"165-176","source":"link-springer-com.tudelft.idm.oclc.org","title":"A review of thickness-induced evolutions of microstructure and superconducting performance of REBa2Cu3O7−δ coated conductor","volume":"5","author":[{"family":"Lin","given":"Jian-Xin"},{"family":"Liu","given":"Xu-Ming"},{"family":"Cui","given":"Chuan-Wei"},{"family":"Bai","given":"Chuan-Yi"},{"family":"Lu","given":"Yu-Ming"},{"family":"Fan","given":"Feng"},{"family":"Guo","given":"Yan-Qun"},{"family":"Liu","given":"Zhi-Yong"},{"family":"Cai","given":"Chuan-Bing"}],"issued":{"date-parts":[["2017",6,1]]}}}],"schema":"https://github.com/citation-style-language/schema/raw/master/csl-citation.json"} </w:instrText>
      </w:r>
      <w:r>
        <w:fldChar w:fldCharType="separate"/>
      </w:r>
      <w:r>
        <w:t>(Lin et al., 2017)</w:t>
      </w:r>
      <w:r>
        <w:fldChar w:fldCharType="end"/>
      </w:r>
      <w:r>
        <w:t xml:space="preserve">, structural deterioration </w:t>
      </w:r>
      <w:r>
        <w:fldChar w:fldCharType="begin"/>
      </w:r>
      <w:r>
        <w:instrText xml:space="preserve"> ADDIN ZOTERO_ITEM CSL_CITATION {"citationID":"GyqUwObB","properties":{"formattedCitation":"(Nguyen et al., 2024)","plainCitation":"(Nguyen et al., 2024)","noteIndex":0},"citationItems":[{"id":14228,"uris":["http://zotero.org/users/6855795/items/3Z7Y7GXE"],"itemData":{"id":14228,"type":"article-journal","abstract":"This study investigates the influence of Cu thickness ratios on the structural, morphological, and mechanical properties of sputtered Cu–W and Cu–Cr bilayer thin films. Employing high power impulse magnetron sputtering (HiPIMS), five distinct thickness ratios of 1:3, 3:5, 1:1, 5:3, and 3:1 were analyzed and compared to bilayer films developed using direct current magnetron sputtering (DCMS). The microstructural and surface characteristics of these films were evaluated using x-ray diffraction (XRD), atomic force microscopy, and scanning electron microscopy. Electrical properties were measured using a four-point probe, while mechanical properties were assessed through nanoindentation. Results reveal that increasing Cu thickness in Cu–W and Cu–Cr bilayers inversely affects hardness, grain size, and roughness, highlighting the influence of thickness ratios on film properties. Films with a higher Cu thickness ratio in both Cu–W and Cu–Cr bilayer systems deposited by HiPIMS exhibited lower hardness, smaller grain size, and reduced average roughness. Cross-sectional analysis and XRD confirmed the impact of thickness ratio on crystal phase and microstructure, indicating smoother columnar structures. Specifically, the HiPIMS-deposited Cu–Cr 3-1 film exhibited the lowest resistivity, at 4.77 μΩ cm, and hardness, measuring 8.26 GPa. Moreover, the 1:1 ratio films of Cu–W and Cu–Cr demonstrated hardness values of 13.81 and 11.37 GPa, respectively, which were 1.39 times higher than the films grown by DCMS. Additionally, variations in the bilayer thickness ratio significantly affected the electrical properties of the films. The enhanced properties of HiPIMS films are attributed to the higher peak power density of the target, leading to increased ion energy and deposition of dense grain structures.","container-title":"Journal of Vacuum Science &amp; Technology A","DOI":"10.1116/6.0003795","ISSN":"0734-2101","issue":"5","journalAbbreviation":"Journal of Vacuum Science &amp; Technology A","page":"053410","source":"Silverchair","title":"Effect of sputtering power and thickness ratios on the materials properties of Cu–W and Cu–Cr bilayer thin films using high power impulse magnetron and DC magnetron sputtering","volume":"42","author":[{"family":"Nguyen","given":"Tra Anh Khoa"},{"family":"Huang","given":"Yu"},{"family":"Dang","given":"Nhat Minh"},{"family":"Lin","given":"Chi-Han"},{"family":"Chen","given":"Wei-Chieh"},{"family":"Wang","given":"Zhao-Ying"},{"family":"Lin","given":"Ming-Tzer"}],"issued":{"date-parts":[["2024",8,28]]}}}],"schema":"https://github.com/citation-style-language/schema/raw/master/csl-citation.json"} </w:instrText>
      </w:r>
      <w:r>
        <w:fldChar w:fldCharType="separate"/>
      </w:r>
      <w:r>
        <w:t>(Nguyen et al., 2024)</w:t>
      </w:r>
      <w:r>
        <w:fldChar w:fldCharType="end"/>
      </w:r>
      <w:r>
        <w:t xml:space="preserve">, and increased resistivity caused due to variations in bonding mechanisms and interface voids in thicker films which impedes current flow </w:t>
      </w:r>
      <w:r>
        <w:fldChar w:fldCharType="begin"/>
      </w:r>
      <w:r>
        <w:instrText xml:space="preserve"> ADDIN ZOTERO_ITEM CSL_CITATION {"citationID":"17srWM8d","properties":{"formattedCitation":"(Lu et al., 2024)","plainCitation":"(Lu et al., 2024)","noteIndex":0},"citationItems":[{"id":14231,"uris":["http://zotero.org/users/6855795/items/8A4EBJ6B"],"itemData":{"id":14231,"type":"article-journal","abstract":"In the hybrid bonding process, the final stage of chemical mechanical polishing plays a critical role. It is essential to ensure that the copper surface is recessed slightly from the oxide surface. However, this recess can lead to the occurrence of interfacial voids between the bonded copper interfaces. To examine the effects of copper film thickness on bonding quality and bonding mechanisms in this study, artificial voids were intentionally introduced at the bonded interfaces at temperatures of 250 °C and 300 °C. The results revealed that as the thickness of the copper film increases, there is an increase in the bonding fraction and a decrease in the void fraction. The variations in void height with different copper film thicknesses were influenced by the bonding mechanism and bonding fraction.","container-title":"Materials","DOI":"10.3390/ma17092150","ISSN":"1996-1944","issue":"9","language":"en","license":"http://creativecommons.org/licenses/by/3.0/","note":"number: 9\npublisher: Multidisciplinary Digital Publishing Institute","page":"2150","source":"www.mdpi.com","title":"Effect of Cu Film Thickness on Cu Bonding Quality and Bonding Mechanism","volume":"17","author":[{"family":"Lu","given":"Tsan-Feng"},{"family":"Hsu","given":"Kai-Ning"},{"family":"Hsu","given":"Ching-Chi"},{"family":"Hsu","given":"Chia-Yu"},{"family":"Wu","given":"YewChung Sermon"}],"issued":{"date-parts":[["2024",1]]}}}],"schema":"https://github.com/citation-style-language/schema/raw/master/csl-citation.json"} </w:instrText>
      </w:r>
      <w:r>
        <w:fldChar w:fldCharType="separate"/>
      </w:r>
      <w:r>
        <w:t>(Lu et al., 2024)</w:t>
      </w:r>
      <w:r>
        <w:fldChar w:fldCharType="end"/>
      </w:r>
      <w:r>
        <w:t>.</w:t>
      </w:r>
      <w:bookmarkEnd w:id="4"/>
    </w:p>
    <w:p w14:paraId="68AC63D0" w14:textId="47834420" w:rsidR="00771FBA" w:rsidRDefault="00771FBA" w:rsidP="00771FBA">
      <w:r>
        <w:rPr>
          <w:noProof/>
        </w:rPr>
        <w:drawing>
          <wp:inline distT="0" distB="0" distL="0" distR="0" wp14:anchorId="1754857B" wp14:editId="12D8C6D4">
            <wp:extent cx="5670550" cy="4991100"/>
            <wp:effectExtent l="0" t="0" r="0" b="0"/>
            <wp:docPr id="1345748322" name="Picture 1" descr="A group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group of different colored lines&#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70550" cy="4991100"/>
                    </a:xfrm>
                    <a:prstGeom prst="rect">
                      <a:avLst/>
                    </a:prstGeom>
                    <a:noFill/>
                    <a:ln>
                      <a:noFill/>
                    </a:ln>
                  </pic:spPr>
                </pic:pic>
              </a:graphicData>
            </a:graphic>
          </wp:inline>
        </w:drawing>
      </w:r>
    </w:p>
    <w:p w14:paraId="387E02FF" w14:textId="77777777" w:rsidR="00771FBA" w:rsidRDefault="00771FBA" w:rsidP="00771FBA">
      <w:pPr>
        <w:jc w:val="both"/>
        <w:rPr>
          <w:vertAlign w:val="subscript"/>
        </w:rPr>
      </w:pPr>
      <w:r>
        <w:rPr>
          <w:b/>
          <w:bCs/>
        </w:rPr>
        <w:t>Supplementary Figure S9</w:t>
      </w:r>
      <w:r>
        <w:t xml:space="preserve"> Comparison  of reduction curves for 25 nm, 50 nm, and 100 nm Cu-Ni electrodes with different catholyte concentration of  (A): 2.5 mM KNO</w:t>
      </w:r>
      <w:r>
        <w:rPr>
          <w:vertAlign w:val="subscript"/>
        </w:rPr>
        <w:t>3</w:t>
      </w:r>
      <w:r>
        <w:t xml:space="preserve"> + 3.5 mM Na</w:t>
      </w:r>
      <w:r>
        <w:rPr>
          <w:vertAlign w:val="subscript"/>
        </w:rPr>
        <w:t>2</w:t>
      </w:r>
      <w:r>
        <w:t>SO</w:t>
      </w:r>
      <w:r>
        <w:rPr>
          <w:vertAlign w:val="subscript"/>
        </w:rPr>
        <w:t xml:space="preserve">4 </w:t>
      </w:r>
      <w:r>
        <w:t>, (B): 2.5 mM KNO</w:t>
      </w:r>
      <w:r>
        <w:rPr>
          <w:vertAlign w:val="subscript"/>
        </w:rPr>
        <w:t>3</w:t>
      </w:r>
      <w:r>
        <w:t xml:space="preserve"> + 9.8 mM Na</w:t>
      </w:r>
      <w:r>
        <w:rPr>
          <w:vertAlign w:val="subscript"/>
        </w:rPr>
        <w:t>2</w:t>
      </w:r>
      <w:r>
        <w:t>SO</w:t>
      </w:r>
      <w:r>
        <w:rPr>
          <w:vertAlign w:val="subscript"/>
        </w:rPr>
        <w:t xml:space="preserve">4 </w:t>
      </w:r>
      <w:r>
        <w:t>, (C): 5.9 mM KNO</w:t>
      </w:r>
      <w:r>
        <w:rPr>
          <w:vertAlign w:val="subscript"/>
        </w:rPr>
        <w:t>3</w:t>
      </w:r>
      <w:r>
        <w:t xml:space="preserve"> + 9.8 mM Na</w:t>
      </w:r>
      <w:r>
        <w:rPr>
          <w:vertAlign w:val="subscript"/>
        </w:rPr>
        <w:t>2</w:t>
      </w:r>
      <w:r>
        <w:t>SO</w:t>
      </w:r>
      <w:r>
        <w:rPr>
          <w:vertAlign w:val="subscript"/>
        </w:rPr>
        <w:t>4</w:t>
      </w:r>
      <w:r>
        <w:t>, and (D): 3.5 mM Na</w:t>
      </w:r>
      <w:r>
        <w:rPr>
          <w:vertAlign w:val="subscript"/>
        </w:rPr>
        <w:t>2</w:t>
      </w:r>
      <w:r>
        <w:t>SO</w:t>
      </w:r>
      <w:r>
        <w:rPr>
          <w:vertAlign w:val="subscript"/>
        </w:rPr>
        <w:t>4</w:t>
      </w:r>
    </w:p>
    <w:p w14:paraId="603BE926" w14:textId="77777777" w:rsidR="00D76594" w:rsidRDefault="00D76594"/>
    <w:sectPr w:rsidR="00D76594">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Mangal">
    <w:panose1 w:val="00000400000000000000"/>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1FBA"/>
    <w:rsid w:val="00145CE0"/>
    <w:rsid w:val="00246EA8"/>
    <w:rsid w:val="003635C4"/>
    <w:rsid w:val="003E53D0"/>
    <w:rsid w:val="00424B80"/>
    <w:rsid w:val="006D3D0E"/>
    <w:rsid w:val="00771FBA"/>
    <w:rsid w:val="007F0023"/>
    <w:rsid w:val="00821E26"/>
    <w:rsid w:val="009C685B"/>
    <w:rsid w:val="00A92D16"/>
    <w:rsid w:val="00C36194"/>
    <w:rsid w:val="00D76594"/>
    <w:rsid w:val="00E41954"/>
  </w:rsids>
  <m:mathPr>
    <m:mathFont m:val="Cambria Math"/>
    <m:brkBin m:val="before"/>
    <m:brkBinSub m:val="--"/>
    <m:smallFrac m:val="0"/>
    <m:dispDef/>
    <m:lMargin m:val="0"/>
    <m:rMargin m:val="0"/>
    <m:defJc m:val="centerGroup"/>
    <m:wrapIndent m:val="1440"/>
    <m:intLim m:val="subSup"/>
    <m:naryLim m:val="undOvr"/>
  </m:mathPr>
  <w:themeFontLang w:val="en-US" w:bidi="mr-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63BD33"/>
  <w15:chartTrackingRefBased/>
  <w15:docId w15:val="{0CE8520C-522D-42FD-8BC6-85EDC0036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lang w:val="en-US" w:eastAsia="en-US" w:bidi="mr-IN"/>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1FBA"/>
    <w:pPr>
      <w:spacing w:before="120" w:after="240" w:line="240" w:lineRule="auto"/>
    </w:pPr>
    <w:rPr>
      <w:rFonts w:ascii="Times New Roman" w:hAnsi="Times New Roman"/>
      <w:kern w:val="0"/>
      <w:sz w:val="24"/>
      <w:szCs w:val="22"/>
      <w:lang w:bidi="ar-SA"/>
    </w:rPr>
  </w:style>
  <w:style w:type="paragraph" w:styleId="Heading1">
    <w:name w:val="heading 1"/>
    <w:basedOn w:val="Normal"/>
    <w:next w:val="Normal"/>
    <w:link w:val="Heading1Char"/>
    <w:uiPriority w:val="9"/>
    <w:qFormat/>
    <w:rsid w:val="00771FBA"/>
    <w:pPr>
      <w:keepNext/>
      <w:keepLines/>
      <w:spacing w:before="360" w:after="80"/>
      <w:outlineLvl w:val="0"/>
    </w:pPr>
    <w:rPr>
      <w:rFonts w:asciiTheme="majorHAnsi" w:eastAsiaTheme="majorEastAsia" w:hAnsiTheme="majorHAnsi" w:cstheme="majorBidi"/>
      <w:color w:val="0F4761" w:themeColor="accent1" w:themeShade="BF"/>
      <w:sz w:val="40"/>
      <w:szCs w:val="36"/>
    </w:rPr>
  </w:style>
  <w:style w:type="paragraph" w:styleId="Heading2">
    <w:name w:val="heading 2"/>
    <w:basedOn w:val="Normal"/>
    <w:next w:val="Normal"/>
    <w:link w:val="Heading2Char"/>
    <w:uiPriority w:val="9"/>
    <w:semiHidden/>
    <w:unhideWhenUsed/>
    <w:qFormat/>
    <w:rsid w:val="00771FBA"/>
    <w:pPr>
      <w:keepNext/>
      <w:keepLines/>
      <w:spacing w:before="160" w:after="80"/>
      <w:outlineLvl w:val="1"/>
    </w:pPr>
    <w:rPr>
      <w:rFonts w:asciiTheme="majorHAnsi" w:eastAsiaTheme="majorEastAsia" w:hAnsiTheme="majorHAnsi" w:cstheme="majorBidi"/>
      <w:color w:val="0F4761" w:themeColor="accent1" w:themeShade="BF"/>
      <w:sz w:val="32"/>
      <w:szCs w:val="29"/>
    </w:rPr>
  </w:style>
  <w:style w:type="paragraph" w:styleId="Heading3">
    <w:name w:val="heading 3"/>
    <w:basedOn w:val="Normal"/>
    <w:next w:val="Normal"/>
    <w:link w:val="Heading3Char"/>
    <w:uiPriority w:val="9"/>
    <w:semiHidden/>
    <w:unhideWhenUsed/>
    <w:qFormat/>
    <w:rsid w:val="00771FBA"/>
    <w:pPr>
      <w:keepNext/>
      <w:keepLines/>
      <w:spacing w:before="160" w:after="80"/>
      <w:outlineLvl w:val="2"/>
    </w:pPr>
    <w:rPr>
      <w:rFonts w:eastAsiaTheme="majorEastAsia" w:cstheme="majorBidi"/>
      <w:color w:val="0F4761" w:themeColor="accent1" w:themeShade="BF"/>
      <w:sz w:val="28"/>
      <w:szCs w:val="25"/>
    </w:rPr>
  </w:style>
  <w:style w:type="paragraph" w:styleId="Heading4">
    <w:name w:val="heading 4"/>
    <w:basedOn w:val="Normal"/>
    <w:next w:val="Normal"/>
    <w:link w:val="Heading4Char"/>
    <w:uiPriority w:val="9"/>
    <w:semiHidden/>
    <w:unhideWhenUsed/>
    <w:qFormat/>
    <w:rsid w:val="00771FB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71FB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1FB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1FB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1FB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1FB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71FBA"/>
    <w:rPr>
      <w:rFonts w:asciiTheme="majorHAnsi" w:eastAsiaTheme="majorEastAsia" w:hAnsiTheme="majorHAnsi" w:cstheme="majorBidi"/>
      <w:color w:val="0F4761" w:themeColor="accent1" w:themeShade="BF"/>
      <w:sz w:val="40"/>
      <w:szCs w:val="36"/>
    </w:rPr>
  </w:style>
  <w:style w:type="character" w:customStyle="1" w:styleId="Heading2Char">
    <w:name w:val="Heading 2 Char"/>
    <w:basedOn w:val="DefaultParagraphFont"/>
    <w:link w:val="Heading2"/>
    <w:uiPriority w:val="9"/>
    <w:semiHidden/>
    <w:rsid w:val="00771FBA"/>
    <w:rPr>
      <w:rFonts w:asciiTheme="majorHAnsi" w:eastAsiaTheme="majorEastAsia" w:hAnsiTheme="majorHAnsi" w:cstheme="majorBidi"/>
      <w:color w:val="0F4761" w:themeColor="accent1" w:themeShade="BF"/>
      <w:sz w:val="32"/>
      <w:szCs w:val="29"/>
    </w:rPr>
  </w:style>
  <w:style w:type="character" w:customStyle="1" w:styleId="Heading3Char">
    <w:name w:val="Heading 3 Char"/>
    <w:basedOn w:val="DefaultParagraphFont"/>
    <w:link w:val="Heading3"/>
    <w:uiPriority w:val="9"/>
    <w:semiHidden/>
    <w:rsid w:val="00771FBA"/>
    <w:rPr>
      <w:rFonts w:eastAsiaTheme="majorEastAsia" w:cstheme="majorBidi"/>
      <w:color w:val="0F4761" w:themeColor="accent1" w:themeShade="BF"/>
      <w:sz w:val="28"/>
      <w:szCs w:val="25"/>
    </w:rPr>
  </w:style>
  <w:style w:type="character" w:customStyle="1" w:styleId="Heading4Char">
    <w:name w:val="Heading 4 Char"/>
    <w:basedOn w:val="DefaultParagraphFont"/>
    <w:link w:val="Heading4"/>
    <w:uiPriority w:val="9"/>
    <w:semiHidden/>
    <w:rsid w:val="00771FB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71FB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1FB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1FB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1FB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1FBA"/>
    <w:rPr>
      <w:rFonts w:eastAsiaTheme="majorEastAsia" w:cstheme="majorBidi"/>
      <w:color w:val="272727" w:themeColor="text1" w:themeTint="D8"/>
    </w:rPr>
  </w:style>
  <w:style w:type="paragraph" w:styleId="Title">
    <w:name w:val="Title"/>
    <w:basedOn w:val="Normal"/>
    <w:next w:val="Normal"/>
    <w:link w:val="TitleChar"/>
    <w:uiPriority w:val="10"/>
    <w:qFormat/>
    <w:rsid w:val="00771FBA"/>
    <w:pPr>
      <w:spacing w:after="80"/>
      <w:contextualSpacing/>
    </w:pPr>
    <w:rPr>
      <w:rFonts w:asciiTheme="majorHAnsi" w:eastAsiaTheme="majorEastAsia" w:hAnsiTheme="majorHAnsi" w:cstheme="majorBidi"/>
      <w:spacing w:val="-10"/>
      <w:kern w:val="28"/>
      <w:sz w:val="56"/>
      <w:szCs w:val="50"/>
    </w:rPr>
  </w:style>
  <w:style w:type="character" w:customStyle="1" w:styleId="TitleChar">
    <w:name w:val="Title Char"/>
    <w:basedOn w:val="DefaultParagraphFont"/>
    <w:link w:val="Title"/>
    <w:uiPriority w:val="10"/>
    <w:rsid w:val="00771FBA"/>
    <w:rPr>
      <w:rFonts w:asciiTheme="majorHAnsi" w:eastAsiaTheme="majorEastAsia" w:hAnsiTheme="majorHAnsi" w:cstheme="majorBidi"/>
      <w:spacing w:val="-10"/>
      <w:kern w:val="28"/>
      <w:sz w:val="56"/>
      <w:szCs w:val="50"/>
    </w:rPr>
  </w:style>
  <w:style w:type="paragraph" w:styleId="Subtitle">
    <w:name w:val="Subtitle"/>
    <w:basedOn w:val="Normal"/>
    <w:next w:val="Normal"/>
    <w:link w:val="SubtitleChar"/>
    <w:uiPriority w:val="11"/>
    <w:qFormat/>
    <w:rsid w:val="00771FBA"/>
    <w:pPr>
      <w:numPr>
        <w:ilvl w:val="1"/>
      </w:numPr>
    </w:pPr>
    <w:rPr>
      <w:rFonts w:eastAsiaTheme="majorEastAsia" w:cstheme="majorBidi"/>
      <w:color w:val="595959" w:themeColor="text1" w:themeTint="A6"/>
      <w:spacing w:val="15"/>
      <w:sz w:val="28"/>
      <w:szCs w:val="25"/>
    </w:rPr>
  </w:style>
  <w:style w:type="character" w:customStyle="1" w:styleId="SubtitleChar">
    <w:name w:val="Subtitle Char"/>
    <w:basedOn w:val="DefaultParagraphFont"/>
    <w:link w:val="Subtitle"/>
    <w:uiPriority w:val="11"/>
    <w:rsid w:val="00771FBA"/>
    <w:rPr>
      <w:rFonts w:eastAsiaTheme="majorEastAsia" w:cstheme="majorBidi"/>
      <w:color w:val="595959" w:themeColor="text1" w:themeTint="A6"/>
      <w:spacing w:val="15"/>
      <w:sz w:val="28"/>
      <w:szCs w:val="25"/>
    </w:rPr>
  </w:style>
  <w:style w:type="paragraph" w:styleId="Quote">
    <w:name w:val="Quote"/>
    <w:basedOn w:val="Normal"/>
    <w:next w:val="Normal"/>
    <w:link w:val="QuoteChar"/>
    <w:uiPriority w:val="29"/>
    <w:qFormat/>
    <w:rsid w:val="00771FBA"/>
    <w:pPr>
      <w:spacing w:before="160"/>
      <w:jc w:val="center"/>
    </w:pPr>
    <w:rPr>
      <w:i/>
      <w:iCs/>
      <w:color w:val="404040" w:themeColor="text1" w:themeTint="BF"/>
    </w:rPr>
  </w:style>
  <w:style w:type="character" w:customStyle="1" w:styleId="QuoteChar">
    <w:name w:val="Quote Char"/>
    <w:basedOn w:val="DefaultParagraphFont"/>
    <w:link w:val="Quote"/>
    <w:uiPriority w:val="29"/>
    <w:rsid w:val="00771FBA"/>
    <w:rPr>
      <w:i/>
      <w:iCs/>
      <w:color w:val="404040" w:themeColor="text1" w:themeTint="BF"/>
    </w:rPr>
  </w:style>
  <w:style w:type="paragraph" w:styleId="ListParagraph">
    <w:name w:val="List Paragraph"/>
    <w:basedOn w:val="Normal"/>
    <w:uiPriority w:val="34"/>
    <w:qFormat/>
    <w:rsid w:val="00771FBA"/>
    <w:pPr>
      <w:ind w:left="720"/>
      <w:contextualSpacing/>
    </w:pPr>
  </w:style>
  <w:style w:type="character" w:styleId="IntenseEmphasis">
    <w:name w:val="Intense Emphasis"/>
    <w:basedOn w:val="DefaultParagraphFont"/>
    <w:uiPriority w:val="21"/>
    <w:qFormat/>
    <w:rsid w:val="00771FBA"/>
    <w:rPr>
      <w:i/>
      <w:iCs/>
      <w:color w:val="0F4761" w:themeColor="accent1" w:themeShade="BF"/>
    </w:rPr>
  </w:style>
  <w:style w:type="paragraph" w:styleId="IntenseQuote">
    <w:name w:val="Intense Quote"/>
    <w:basedOn w:val="Normal"/>
    <w:next w:val="Normal"/>
    <w:link w:val="IntenseQuoteChar"/>
    <w:uiPriority w:val="30"/>
    <w:qFormat/>
    <w:rsid w:val="00771FB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71FBA"/>
    <w:rPr>
      <w:i/>
      <w:iCs/>
      <w:color w:val="0F4761" w:themeColor="accent1" w:themeShade="BF"/>
    </w:rPr>
  </w:style>
  <w:style w:type="character" w:styleId="IntenseReference">
    <w:name w:val="Intense Reference"/>
    <w:basedOn w:val="DefaultParagraphFont"/>
    <w:uiPriority w:val="32"/>
    <w:qFormat/>
    <w:rsid w:val="00771FBA"/>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79912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6039</Words>
  <Characters>34423</Characters>
  <Application>Microsoft Office Word</Application>
  <DocSecurity>0</DocSecurity>
  <Lines>286</Lines>
  <Paragraphs>80</Paragraphs>
  <ScaleCrop>false</ScaleCrop>
  <Company>TU Delft</Company>
  <LinksUpToDate>false</LinksUpToDate>
  <CharactersWithSpaces>40382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Sumit Meshram</dc:creator>
  <cp:keywords/>
  <dc:description/>
  <cp:lastModifiedBy>Sumit Meshram</cp:lastModifiedBy>
  <cp:revision>1</cp:revision>
  <dcterms:created xsi:type="dcterms:W3CDTF">2025-09-29T06:45:00Z</dcterms:created>
  <dcterms:modified xsi:type="dcterms:W3CDTF">2025-09-29T06:45:00Z</dcterms:modified>
</cp:coreProperties>
</file>